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EB" w:rsidRPr="000E5A10" w:rsidRDefault="000E5A10" w:rsidP="00D15C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08-133</w:t>
      </w:r>
      <w:r w:rsidRPr="000E5A1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ТДТ-60 гусеничный </w:t>
      </w:r>
      <w:proofErr w:type="spellStart"/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чокерный</w:t>
      </w:r>
      <w:proofErr w:type="spellEnd"/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трелевочный трактор г</w:t>
      </w:r>
      <w:r w:rsidR="003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 для доставки хлыстов волоком, </w:t>
      </w:r>
      <w:r w:rsidR="000C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трелюемый объем до 15 м3, 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тяговое усилие лебёдки 6.35 т</w:t>
      </w:r>
      <w:r w:rsidR="000C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 2, конструктивный вес 1</w:t>
      </w:r>
      <w:r w:rsidR="000C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0.5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Д-60Т 60 </w:t>
      </w:r>
      <w:proofErr w:type="spellStart"/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вперед/назад </w:t>
      </w:r>
      <w:r w:rsidRPr="000E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7.6/2.6 км/час, МТЗ г. Минск 1957 г., АТЗ г. Рубцовск 1957-62 г.</w:t>
      </w:r>
    </w:p>
    <w:p w:rsidR="00B92860" w:rsidRDefault="00B92860" w:rsidP="00D15C9F">
      <w:pPr>
        <w:outlineLvl w:val="2"/>
        <w:rPr>
          <w:noProof/>
          <w:lang w:eastAsia="ru-RU"/>
        </w:rPr>
      </w:pPr>
    </w:p>
    <w:p w:rsidR="008B7C41" w:rsidRDefault="00B92860" w:rsidP="00D15C9F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1DDADC" wp14:editId="7C61DB85">
            <wp:simplePos x="0" y="0"/>
            <wp:positionH relativeFrom="margin">
              <wp:posOffset>518160</wp:posOffset>
            </wp:positionH>
            <wp:positionV relativeFrom="margin">
              <wp:posOffset>1112520</wp:posOffset>
            </wp:positionV>
            <wp:extent cx="5285740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528574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7C41" w:rsidRDefault="008B7C41" w:rsidP="00D15C9F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7C41" w:rsidRDefault="008B7C41" w:rsidP="00D15C9F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01E62" w:rsidRPr="00301E62" w:rsidRDefault="00301E62" w:rsidP="00D15C9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D9" w:rsidRDefault="007034D9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55" w:rsidRDefault="00B92860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E62" w:rsidRDefault="003E5E7E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Трелевочные тракторы</w:t>
      </w:r>
      <w:r w:rsidR="00AD4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которы</w:t>
      </w:r>
      <w:proofErr w:type="gramStart"/>
      <w:r w:rsidR="00AD43F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="00AD4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начат в</w:t>
      </w:r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3FE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г. </w:t>
      </w:r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принципиальные отличия от обычных тракторов. Они снабжены специальным погрузочным устройством, с помощью которого на трактор заталкивается передний конец пачки. На трелевочных тракторах имеется лебедка для сбора и </w:t>
      </w:r>
      <w:proofErr w:type="spellStart"/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подтаскивания</w:t>
      </w:r>
      <w:proofErr w:type="spellEnd"/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пачки хлыстов. Ходовая часть тракторов эластична</w:t>
      </w:r>
      <w:r w:rsid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трактора определяется в основном </w:t>
      </w:r>
      <w:proofErr w:type="spellStart"/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крупномерностью</w:t>
      </w:r>
      <w:proofErr w:type="spellEnd"/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насаждений. При среднем объеме хлыста до 0,4 м3 рекомендуетс</w:t>
      </w:r>
      <w:r w:rsid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использовать легкие тракторы, а </w:t>
      </w:r>
      <w:r w:rsidR="00301E62" w:rsidRP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средн</w:t>
      </w:r>
      <w:r w:rsidR="0030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объеме хлыста 0,4 м3 и выше - 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мощные трелевочные тракторы</w:t>
      </w:r>
    </w:p>
    <w:p w:rsidR="00BA7AEB" w:rsidRPr="00905122" w:rsidRDefault="004A7F3F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такого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мощного 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трактора Министерство автотракторной промышленности поручило разработать конструкторам Минского тракторного завода совместно с Научно-исследовательским автотракторным институтом (НАТИ) по техническим требованиям Министерства лесной промышленности СССР. </w:t>
      </w:r>
      <w:r w:rsidR="00A171AD" w:rsidRPr="00A17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ТДТ-54</w:t>
      </w:r>
      <w:r w:rsidR="00E7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152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61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дизельный трелевочный)</w:t>
      </w:r>
      <w:r w:rsidR="00A171AD" w:rsidRPr="00A1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два года и закончилась в 1954 году. </w:t>
      </w:r>
      <w:r w:rsidR="00AE436C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производительности применили дизельный двигатель Д-54 мощностью 54 </w:t>
      </w:r>
      <w:proofErr w:type="spellStart"/>
      <w:r w:rsidR="00AE436C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E436C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трактора ДТ-54 Харьковского тракторного завода.</w:t>
      </w:r>
      <w:r w:rsidR="00AE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1AD" w:rsidRPr="00A17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образцы нового трактора успешно прошли испытания, и модель была рекомендована к производству.</w:t>
      </w:r>
      <w:r w:rsidR="00A1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AEB" w:rsidRDefault="008B7C4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371" w:rsidRPr="00395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конструкторы МТЗ продолжали совершенствовать машину. Еще при изготовлении опытных образцов обнаружился ряд недостатков, над устранением которых инженеры работали еще два года.</w:t>
      </w:r>
      <w:r w:rsidR="0039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изель Д-54 форсирован до мощности 60 </w:t>
      </w:r>
      <w:proofErr w:type="spellStart"/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как следствие трактор получил новое наименование ТДТ-60. </w:t>
      </w:r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Значительной переработке подверглась и ходовая система. Пластинчатые рессоры сменились </w:t>
      </w:r>
      <w:proofErr w:type="gramStart"/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винтовыми</w:t>
      </w:r>
      <w:proofErr w:type="gramEnd"/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обеспечивавшими большую надежность и износостойкость, не говоря об удобстве ремонта. Опорная поверхность звена гусеницы была увеличена в длину и ширину. Кроме того, на 60 мм расширилась колея.</w:t>
      </w:r>
      <w:r w:rsid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внутреннее устройство трактора также внесли множество небольших изменений. Корпус коробки передач был отделен от корпуса заднего моста, переработаны раздаточная коробка, конструкция корпуса бортовых передач и </w:t>
      </w:r>
      <w:proofErr w:type="spellStart"/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гидрораспределитель</w:t>
      </w:r>
      <w:proofErr w:type="spellEnd"/>
      <w:r w:rsidR="00754A5F" w:rsidRP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этих усовершенствований компоновка узлов стала более организованной</w:t>
      </w:r>
      <w:r w:rsidR="0075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опытных образца </w:t>
      </w:r>
      <w:r w:rsidR="00BE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ТДТ-60 </w:t>
      </w:r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1956 году прошли все контрольные государственные испытания в производственных условиях в </w:t>
      </w:r>
      <w:proofErr w:type="spellStart"/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Вахтанском</w:t>
      </w:r>
      <w:proofErr w:type="spellEnd"/>
      <w:r w:rsidR="00BA7AEB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леспромхозе Горьковской области.</w:t>
      </w:r>
      <w:r w:rsid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8096B" w:rsidRP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ерийно</w:t>
      </w:r>
      <w:r w:rsid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096B" w:rsidRP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</w:t>
      </w:r>
      <w:r w:rsid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="00F1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трелевочных тракторов ТДТ-54 начали </w:t>
      </w:r>
      <w:r w:rsidR="00F17EB3" w:rsidRP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МТЗ </w:t>
      </w:r>
      <w:r w:rsidR="00F1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096B" w:rsidRP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г., </w:t>
      </w:r>
      <w:r w:rsidR="00F1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="00F17EB3" w:rsidRP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1957 г. </w:t>
      </w:r>
      <w:r w:rsidR="00F1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перешли на выпуск ТДТ-60.</w:t>
      </w:r>
    </w:p>
    <w:p w:rsidR="002231CC" w:rsidRPr="002231CC" w:rsidRDefault="00BD0FFF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E7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1956 году принято решение о передаче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69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гусеничных трелевочных тракторов для лесной промышленности </w:t>
      </w:r>
      <w:r w:rsidR="00CD1F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Минского Тракторного З</w:t>
      </w:r>
      <w:r w:rsidR="00CD1F59" w:rsidRPr="0090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авода </w:t>
      </w:r>
      <w:r w:rsidR="006E7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Алтайский Тракторный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Завод. В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1957 года АТЗ выпустил перв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мод</w:t>
      </w:r>
      <w:r w:rsidR="00480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трелевочного трактора ТДТ-54</w:t>
      </w:r>
      <w:r w:rsidR="00BE6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зработанную 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Минском тракторном заводе в содружестве с НАТИ. В сентябре 1957 года без остановки производства сельскохозяйственного трактора был собран первый трелевочный трактор на гусеничном ходу ТДТ-60 для лесозаготовительных работ, на радиаторе которого выделялись знакомые три буквы «АТЗ». От ТДТ-55 он отличался форсированным двигателем, развивающим мощность в 60 </w:t>
      </w:r>
      <w:proofErr w:type="spellStart"/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завода продолжи</w:t>
      </w:r>
      <w:r w:rsidR="00B833E9" w:rsidRP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работу над более мощным трелевочным трактором ТДТ-75. В мае 1962 года коллектив завода пе</w:t>
      </w:r>
      <w:r w:rsidR="00E83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решел на выпуск новой модел</w:t>
      </w:r>
      <w:r w:rsidR="00B833E9" w:rsidRP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трелевочного трактора — ТДТ-75</w:t>
      </w:r>
      <w:r w:rsidR="0083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029" w:rsidRPr="0083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тягового класса</w:t>
      </w:r>
      <w:r w:rsidR="0083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двигателем </w:t>
      </w:r>
      <w:r w:rsidR="00837029" w:rsidRPr="00837029">
        <w:rPr>
          <w:rFonts w:ascii="Times New Roman" w:eastAsia="Times New Roman" w:hAnsi="Times New Roman" w:cs="Times New Roman"/>
          <w:sz w:val="24"/>
          <w:szCs w:val="24"/>
          <w:lang w:eastAsia="ru-RU"/>
        </w:rPr>
        <w:t>Д-75Т-АТ</w:t>
      </w:r>
      <w:r w:rsid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сменившую</w:t>
      </w:r>
      <w:proofErr w:type="gramEnd"/>
      <w:r w:rsid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конвейере  ТДТ-60</w:t>
      </w:r>
      <w:r w:rsidR="00B833E9" w:rsidRPr="00B83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4FD" w:rsidRPr="0069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трактором ТДТ-60 унифицированы рама, подвеска, гусеница, с трактором Т-4 - двигатель, муфта сцепления, коробка передач, задний мост, механизм управления.</w:t>
      </w:r>
      <w:r w:rsidR="0069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стояла на конвейере до </w:t>
      </w:r>
      <w:r w:rsidR="007B1F6A" w:rsidRPr="007B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1971 года</w:t>
      </w:r>
      <w:r w:rsidR="00E8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её </w:t>
      </w:r>
      <w:r w:rsidR="0069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E83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сменила следующая модель - ТТ-4</w:t>
      </w:r>
      <w:r w:rsidR="00696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которой был начат в 1969 г</w:t>
      </w:r>
      <w:r w:rsidR="00E83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1CC" w:rsidRDefault="00485754" w:rsidP="00D15C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CC" w:rsidRPr="0022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CC" w:rsidRPr="0022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3AB" w:rsidRPr="00FC13AB" w:rsidRDefault="00FC13AB" w:rsidP="00D15C9F">
      <w:pPr>
        <w:pStyle w:val="a3"/>
        <w:spacing w:before="0" w:beforeAutospacing="0" w:after="0" w:afterAutospacing="0"/>
      </w:pPr>
      <w:r>
        <w:t xml:space="preserve"> </w:t>
      </w:r>
      <w:r w:rsidRPr="00FC13AB">
        <w:t xml:space="preserve">На тракторе ТДТ-60 установлен </w:t>
      </w:r>
      <w:r w:rsidR="00E71531">
        <w:t>4-</w:t>
      </w:r>
      <w:r w:rsidRPr="00FC13AB">
        <w:t xml:space="preserve">цилиндровый рядный </w:t>
      </w:r>
      <w:r w:rsidR="00E71531">
        <w:t>4-</w:t>
      </w:r>
      <w:r w:rsidRPr="00FC13AB">
        <w:t xml:space="preserve">тактный дизель Д-60Т мощностью 60 л. с. при 1500 </w:t>
      </w:r>
      <w:proofErr w:type="gramStart"/>
      <w:r w:rsidRPr="00FC13AB">
        <w:t>об</w:t>
      </w:r>
      <w:proofErr w:type="gramEnd"/>
      <w:r w:rsidRPr="00FC13AB">
        <w:t xml:space="preserve">/мин с </w:t>
      </w:r>
      <w:proofErr w:type="spellStart"/>
      <w:r w:rsidRPr="00FC13AB">
        <w:t>вихрекамерным</w:t>
      </w:r>
      <w:proofErr w:type="spellEnd"/>
      <w:r w:rsidRPr="00FC13AB">
        <w:t xml:space="preserve"> смесеобразованием. Дизель Д-60Т представляет собой форсированную модификацию ди</w:t>
      </w:r>
      <w:r>
        <w:t>зеля Д-54 сельскохозяйственного</w:t>
      </w:r>
      <w:r w:rsidRPr="00FC13AB">
        <w:t xml:space="preserve"> трактора ДТ-54. Частота вращения дизеля увеличена в сравнении с частотой вращения дизеля Д-54 с 1300 до 1500 об/мин. Пуск дизеля Д-60Т осуществляется двухтактным карбюраторным одноцилиндровым пусковым, двигателем ПД-1</w:t>
      </w:r>
      <w:r>
        <w:t>0</w:t>
      </w:r>
      <w:r w:rsidRPr="00FC13AB">
        <w:t xml:space="preserve"> мощностью 10 л. с. Подогрев дизеля при эксплуатации в зимний период производится специальной лампой и принудительной подачей воздуха через подогревательное устройство. Дизель Д-60Т размещен в кабине и для обеспечения необ</w:t>
      </w:r>
      <w:r>
        <w:t>ходимых условий при работе тракт</w:t>
      </w:r>
      <w:r w:rsidRPr="00FC13AB">
        <w:t>ориста смещен относительно продольной оси на 95 мм вправо по ход</w:t>
      </w:r>
      <w:r w:rsidR="009D2EEB">
        <w:t>у трактора. Кабина трактора 2-</w:t>
      </w:r>
      <w:r w:rsidRPr="00FC13AB">
        <w:t>местная металлическая закрытая, с</w:t>
      </w:r>
      <w:r w:rsidR="00BF1A2F">
        <w:t>о с</w:t>
      </w:r>
      <w:r w:rsidR="009D2EEB">
        <w:t>движными дверями.</w:t>
      </w:r>
      <w:r w:rsidRPr="00FC13AB">
        <w:t xml:space="preserve"> Сиденье тракториста расположено с Левой стороны от дизеля, сиденье помощника тракториста — справа. Рабочие места тракториста и помощника тепл</w:t>
      </w:r>
      <w:proofErr w:type="gramStart"/>
      <w:r w:rsidRPr="00FC13AB">
        <w:t>о-</w:t>
      </w:r>
      <w:proofErr w:type="gramEnd"/>
      <w:r w:rsidRPr="00FC13AB">
        <w:t xml:space="preserve"> и </w:t>
      </w:r>
      <w:proofErr w:type="spellStart"/>
      <w:r w:rsidRPr="00FC13AB">
        <w:t>звукоизолированы</w:t>
      </w:r>
      <w:proofErr w:type="spellEnd"/>
      <w:r w:rsidRPr="00FC13AB">
        <w:t xml:space="preserve"> </w:t>
      </w:r>
      <w:r w:rsidR="009D2EEB">
        <w:t xml:space="preserve">от двигателя </w:t>
      </w:r>
      <w:r w:rsidRPr="00FC13AB">
        <w:t>капотом с асбестовыми накладками. Доступ к основным агрегатам дизеля при технических уходах и регули</w:t>
      </w:r>
      <w:r w:rsidR="009D2EEB">
        <w:t>ровках обеспечивается из кабины</w:t>
      </w:r>
      <w:r w:rsidR="00BF1A2F">
        <w:t>. Заливная горловина ради</w:t>
      </w:r>
      <w:r w:rsidRPr="00FC13AB">
        <w:t xml:space="preserve">атора системы охлаждения дизеля расположена снаружи </w:t>
      </w:r>
      <w:r w:rsidR="009D2EEB">
        <w:t>и</w:t>
      </w:r>
      <w:r w:rsidRPr="00FC13AB">
        <w:t xml:space="preserve"> закрыта легкосъемной облицовкой.</w:t>
      </w:r>
    </w:p>
    <w:p w:rsidR="00FC13AB" w:rsidRPr="00FC13AB" w:rsidRDefault="009D2EE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ТДТ-60 имеет </w:t>
      </w:r>
      <w:r w:rsidR="00457E5C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ступенчатую механическую трансмиссию, включающую в себя: муфту сцепления, карданный привод, коробку передач, задний мост и бортовые редукторы.</w:t>
      </w:r>
    </w:p>
    <w:p w:rsidR="00FC13AB" w:rsidRPr="00FC13AB" w:rsidRDefault="00FC13A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 сцепления трелевочного трак</w:t>
      </w:r>
      <w:r w:rsidR="00457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аналогична муфте сцепления</w:t>
      </w: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ДТ-54. Муфта снабжена </w:t>
      </w:r>
      <w:proofErr w:type="spellStart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тормозком</w:t>
      </w:r>
      <w:proofErr w:type="spell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</w:t>
      </w:r>
      <w:proofErr w:type="gram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торможение ведущих валов коробки передач и раздаточной коробки при выключении муфты. </w:t>
      </w:r>
      <w:proofErr w:type="spellStart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Тормозок</w:t>
      </w:r>
      <w:proofErr w:type="spell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безударное включение шестерен в коробке передач, способствуя повышению срока службы шестерен.</w:t>
      </w:r>
    </w:p>
    <w:p w:rsidR="00FC13AB" w:rsidRPr="00FC13AB" w:rsidRDefault="00457E5C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Крутящий момент от дизеля и муфты сцепления передается к раздаточной коробке и коробке передач двумя карданными валами. Карданный вал с резиновыми втулками передает крутящий момент от муфты сцепления к раздаточной коробке, а трубчатый карданный вал с шарнирами на игольчатых подшипниках — от раздаточной коробки к коробке передач. Все детали трубчатого карданного вала (кроме трубы) заимствованы от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карданного привода автомобиля Зи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Л-151.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трактора механическая </w:t>
      </w:r>
      <w:proofErr w:type="spell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двухвальная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пятискоростная с подвижными шестернями и блокировкой механизма переключения. Переключение передач осуществляется дистанционным механизмом. Корпус коробки передач крепят к литому чугунному корпусу заднего моста.</w:t>
      </w:r>
    </w:p>
    <w:p w:rsidR="00FC13AB" w:rsidRPr="00FC13AB" w:rsidRDefault="00FC13A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отсеке корпуса заднего моста размещена центральная коническая передача, состоящая из двух прямозубых конических шестерен, в боковых отсеках — механизмы поворота и тормоза. Механизмы поворота представляют собой одноступенчатые планетарные редукторы с цилиндрическими прямозубыми шестернями. Ленточные плавающие тормоза работают в масле.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тормозами осуществляется рычажно-роликовыми механизмами. Плавные повороты трактора влево и вправо производят одним рычагом, расположенным в кабине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тракториста, и педалями приводов управления тормозами коронных шестерен заднего моста. Для крутых поворотов трактора </w:t>
      </w:r>
      <w:proofErr w:type="gram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дополнительное воздействие на педаль привода управления тормозом водила</w:t>
      </w:r>
      <w:proofErr w:type="gram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планетарного редуктора заднего моста. Приводы управления тормозами </w:t>
      </w:r>
      <w:proofErr w:type="gram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водила</w:t>
      </w:r>
      <w:proofErr w:type="gram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отдельно для левого и правого борта.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Бортовые редукторы выполнены в виде пары цилиндрических прямозубых шестерен. Герметичность бортовых редукторов обеспечивают </w:t>
      </w:r>
      <w:proofErr w:type="spell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самоподжимные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торцовые </w:t>
      </w:r>
      <w:proofErr w:type="spellStart"/>
      <w:proofErr w:type="gram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-металлические</w:t>
      </w:r>
      <w:proofErr w:type="gram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сальники.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колесо гусеничного движителя крепят к шлицевой ступице, установленной на ведомом валу редуктора.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мощности для привода безмоторных агрегатов при стационарных работах осуществляется от ведущего вала коробки передач. </w:t>
      </w:r>
      <w:proofErr w:type="gram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 задний шлицевой конец верхнего вала коробки передач удлинен и введён в корпус заднего моста.</w:t>
      </w:r>
      <w:proofErr w:type="gram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безмоторных агрегатов предусмотрена на задней стенке корпуса заднего моста, имеющего обработанный фланец с резьбовыми отверстиями.</w:t>
      </w:r>
    </w:p>
    <w:p w:rsidR="00FC13AB" w:rsidRPr="00FC13AB" w:rsidRDefault="00F911E1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 и механизмы трактора располагают на жесткой сварной корытообразной раме, Днище рамы надежно защищает механизмы от повреждения при движении трактора на лесосеке.</w:t>
      </w:r>
    </w:p>
    <w:p w:rsidR="00FC13AB" w:rsidRPr="00FC13AB" w:rsidRDefault="00FC13A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система трактора ТДТ-60 обеспечивает хорошую проходимость в любое время года. Подвеска трактора балансирная, она состоит из двух передних, двух задних кареток и двух свечных рессор. Каретки объединяют десять литых опорных катков большого диаметра, восемь из которых попарно соединены малым балансиром, а два других установлены на цапфах рычагов задних кареток. Передние каретки подвески для смягчения толчков при переезде трактором различных препятствий подрессорены. Опорные катки расположены под углом к вертикальной плоскости. Такое расположение катков компенсирует износ осей качания кареток и втулок. Катки установлены на конических роликоподшипниках, работающих на жидкой смазке. Подшипниковые узлы уплотняют торцовыми, </w:t>
      </w:r>
      <w:proofErr w:type="spellStart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самоподжимными</w:t>
      </w:r>
      <w:proofErr w:type="spell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-металлическими</w:t>
      </w:r>
      <w:proofErr w:type="gramEnd"/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сальниками.</w:t>
      </w:r>
    </w:p>
    <w:p w:rsidR="00FC13AB" w:rsidRPr="00FC13AB" w:rsidRDefault="008476CC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предохранения ходовой системы и рамы трактора от повышенных нагрузок при натяжении гусеницы в случае попадания камней, сучьев, корней или забивания талым снегом в ней предусмотрено амортизирующее устройство, выполненное в виде цилиндрической винтовой пружины. Регулировка натяжения гусеницы осуществляется натяжным винтом. </w:t>
      </w:r>
      <w:proofErr w:type="spell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Мелкозвенчатые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гусеницы с цевочным зацеплением состоят из литых звеньев, соединенных между собой пальцами.</w:t>
      </w:r>
    </w:p>
    <w:p w:rsidR="00FC13AB" w:rsidRPr="00FC13AB" w:rsidRDefault="00FC13A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оборудование трактора состоит из лебедки и погрузочного устройства с гидроприводом. Раздаточная коробка и лебедка составляют единый узел, который устанавливают на лонжеронах рамы сзади кабины тракториста.</w:t>
      </w:r>
    </w:p>
    <w:p w:rsidR="00FC13AB" w:rsidRPr="00FC13AB" w:rsidRDefault="008476CC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передает крутящий момент от дизеля к коробке передач и однобарабанной реверс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лебедке. Лебедка имеет 2-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ступенчатый реверсивный редуктор, состоящий из двух пар шестерен — конической и цилиндрической. Ведущая коническая шестерня изготовлена как одно целое с валом раздаточной коробки и находится в постоянном зацеплении с ведомой конической шестерней редуктора лебедки.</w:t>
      </w:r>
    </w:p>
    <w:p w:rsidR="00FC13AB" w:rsidRPr="00FC13AB" w:rsidRDefault="008476CC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раздаточной коробкой и лебедкой механическое рычажное, из кабины тракториста. Барабан лебедки включают зубчатой муфтой, тормозят — простым ленточным тормозом. При транспортировке трактором пакета деревьев барабан тормозят ленточным тормозом раздаточной коробки через редуктор лебедки. </w:t>
      </w:r>
      <w:proofErr w:type="spell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Тросоемкость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барабана лебедки 50 м, диаметр троса — 22 мм.</w:t>
      </w:r>
    </w:p>
    <w:p w:rsidR="00FC13AB" w:rsidRPr="00FC13AB" w:rsidRDefault="008476CC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погрузки на трактор сформированного с помощью лебедки воза, транспортировки его в полупогруженном состоянии и разгрузки на эстакаде верхнего склада в тракторе предусмотрено специальное погрузочное устройство. Погрузочное устройство состоит из погрузочного щита и направляющих блоков. Щит шарнирно соединен с рамой трактора. В транспортном положении он передней частью ложится на опорные кронштейны, а задней — на ролики.</w:t>
      </w:r>
    </w:p>
    <w:p w:rsidR="00FC13AB" w:rsidRPr="00FC13AB" w:rsidRDefault="001271B2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Сбрасывание и удержание щита в рабочем положении осуществляется гидроприводом. При </w:t>
      </w:r>
      <w:proofErr w:type="spellStart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подтаскивании</w:t>
      </w:r>
      <w:proofErr w:type="spellEnd"/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хлыстов и работе на склонах гор погрузочное устройство служит упором, предотвращающим сползание трактора и увеличивающим его продольную устойчивость. </w:t>
      </w:r>
      <w:r w:rsidR="00FC13AB"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Впервые на данном тракторе был применен гидропривод для управления погрузочным устройством. Гидропривод трактора включает в себя шестеренный насос НШ-60/75 производительностью 70 л/мин, четырехпозиционный золотниковый распределитель и гидроцилиндры двойного действия. Применение гидропривода значительно облегчило труд тракториста, повысило долговечность рамы и ходовой системы трактора.</w:t>
      </w:r>
    </w:p>
    <w:p w:rsidR="00FC13AB" w:rsidRDefault="00FC13AB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области применения трелевочного трактора ТДТ-60 его оборудуют прицепным устройством, бульдозерным оборудованием, корчевателем-собирателем и снегоочистителем.</w:t>
      </w:r>
    </w:p>
    <w:p w:rsidR="001271B2" w:rsidRPr="00FC13AB" w:rsidRDefault="001271B2" w:rsidP="00D15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CC" w:rsidRPr="00E9360C" w:rsidRDefault="002231CC" w:rsidP="00D15C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ТДТ-60:</w:t>
      </w: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4879"/>
        <w:gridCol w:w="3595"/>
      </w:tblGrid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ТДТ-60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гусеничный, трелевочный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тяговое усилие, </w:t>
            </w:r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трактора конструктивная,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  <w:r w:rsidR="00BA464E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  <w:r w:rsidR="00B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A464E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2231CC" w:rsidRPr="002231CC" w:rsidRDefault="00BA464E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D15C9F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31CC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231CC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="002231CC"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="002231CC"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  <w:r w:rsidR="00BA464E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  <w:r w:rsidR="00B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A464E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2231CC" w:rsidRPr="002231CC" w:rsidRDefault="00D15C9F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кгс/см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0,417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длина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ширина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высота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Д-60Т</w:t>
            </w:r>
          </w:p>
        </w:tc>
      </w:tr>
      <w:tr w:rsidR="00D15C9F" w:rsidRPr="002231CC" w:rsidTr="000919F5">
        <w:trPr>
          <w:jc w:val="center"/>
        </w:trPr>
        <w:tc>
          <w:tcPr>
            <w:tcW w:w="0" w:type="auto"/>
            <w:gridSpan w:val="2"/>
            <w:hideMark/>
          </w:tcPr>
          <w:p w:rsidR="00D15C9F" w:rsidRPr="002231CC" w:rsidRDefault="00D15C9F" w:rsidP="0053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4-цилиндровый рядный, 4-</w:t>
            </w: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</w:t>
            </w:r>
            <w:bookmarkStart w:id="0" w:name="_GoBack"/>
            <w:bookmarkEnd w:id="0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воспламенением от сжатия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Start"/>
            <w:r w:rsidR="00D1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ощность при 1500 об/мин, </w:t>
            </w:r>
            <w:proofErr w:type="spell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 коленчатого вала, 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E9360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</w:t>
            </w:r>
            <w:r w:rsidR="002231CC"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="002231CC"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="002231CC"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1-3-4-2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цилиндров,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двигателя,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топливного бака, </w:t>
            </w:r>
            <w:proofErr w:type="gramStart"/>
            <w:r w:rsidRPr="00223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231CC" w:rsidRPr="002231CC" w:rsidTr="00D15C9F">
        <w:trPr>
          <w:jc w:val="center"/>
        </w:trPr>
        <w:tc>
          <w:tcPr>
            <w:tcW w:w="0" w:type="auto"/>
            <w:hideMark/>
          </w:tcPr>
          <w:p w:rsidR="002231CC" w:rsidRPr="002231CC" w:rsidRDefault="002231CC" w:rsidP="00D15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2231CC" w:rsidRPr="002231CC" w:rsidRDefault="002231CC" w:rsidP="00D15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пусковой двигатель ПД-10У-1</w:t>
            </w:r>
          </w:p>
        </w:tc>
      </w:tr>
    </w:tbl>
    <w:p w:rsidR="002231CC" w:rsidRDefault="002231CC" w:rsidP="00D15C9F"/>
    <w:p w:rsidR="00BC724B" w:rsidRDefault="00BC724B" w:rsidP="00D15C9F"/>
    <w:p w:rsidR="00BC724B" w:rsidRDefault="00BC724B" w:rsidP="00D15C9F"/>
    <w:p w:rsidR="00BC724B" w:rsidRDefault="00BC724B" w:rsidP="00D15C9F"/>
    <w:sectPr w:rsidR="00BC724B" w:rsidSect="008476C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3B"/>
    <w:rsid w:val="000C1133"/>
    <w:rsid w:val="000E5A10"/>
    <w:rsid w:val="000E5ABB"/>
    <w:rsid w:val="001271B2"/>
    <w:rsid w:val="002231CC"/>
    <w:rsid w:val="00273452"/>
    <w:rsid w:val="002F6EB1"/>
    <w:rsid w:val="00301E62"/>
    <w:rsid w:val="003036A1"/>
    <w:rsid w:val="00360EA2"/>
    <w:rsid w:val="00395371"/>
    <w:rsid w:val="003E5E7E"/>
    <w:rsid w:val="003F7917"/>
    <w:rsid w:val="00457E5C"/>
    <w:rsid w:val="0048096B"/>
    <w:rsid w:val="00485754"/>
    <w:rsid w:val="004936A6"/>
    <w:rsid w:val="004A7F3F"/>
    <w:rsid w:val="00502FC0"/>
    <w:rsid w:val="0052150E"/>
    <w:rsid w:val="00530A99"/>
    <w:rsid w:val="00612B55"/>
    <w:rsid w:val="00685005"/>
    <w:rsid w:val="006964FD"/>
    <w:rsid w:val="006B1AFE"/>
    <w:rsid w:val="006B1C70"/>
    <w:rsid w:val="006B303B"/>
    <w:rsid w:val="006E7769"/>
    <w:rsid w:val="007034D9"/>
    <w:rsid w:val="0072594D"/>
    <w:rsid w:val="00754A5F"/>
    <w:rsid w:val="007B1F6A"/>
    <w:rsid w:val="00837029"/>
    <w:rsid w:val="008476CC"/>
    <w:rsid w:val="008B7C41"/>
    <w:rsid w:val="00994A24"/>
    <w:rsid w:val="0099539F"/>
    <w:rsid w:val="009D2EEB"/>
    <w:rsid w:val="00A171AD"/>
    <w:rsid w:val="00AD2361"/>
    <w:rsid w:val="00AD43FE"/>
    <w:rsid w:val="00AE436C"/>
    <w:rsid w:val="00B131AB"/>
    <w:rsid w:val="00B76D05"/>
    <w:rsid w:val="00B833E9"/>
    <w:rsid w:val="00B92860"/>
    <w:rsid w:val="00BA464E"/>
    <w:rsid w:val="00BA7AEB"/>
    <w:rsid w:val="00BC724B"/>
    <w:rsid w:val="00BD0FFF"/>
    <w:rsid w:val="00BE6152"/>
    <w:rsid w:val="00BF1A2F"/>
    <w:rsid w:val="00CD1F59"/>
    <w:rsid w:val="00D15C9F"/>
    <w:rsid w:val="00DD4112"/>
    <w:rsid w:val="00E71531"/>
    <w:rsid w:val="00E83476"/>
    <w:rsid w:val="00E9360C"/>
    <w:rsid w:val="00F17EB3"/>
    <w:rsid w:val="00F911E1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7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37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2019-10-30T07:37:00Z</dcterms:created>
  <dcterms:modified xsi:type="dcterms:W3CDTF">2023-11-24T16:39:00Z</dcterms:modified>
</cp:coreProperties>
</file>