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F3" w:rsidRPr="00AB10F3" w:rsidRDefault="008843A3" w:rsidP="00AB10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2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0A3DB0" wp14:editId="21ED3479">
            <wp:simplePos x="0" y="0"/>
            <wp:positionH relativeFrom="margin">
              <wp:posOffset>419100</wp:posOffset>
            </wp:positionH>
            <wp:positionV relativeFrom="margin">
              <wp:posOffset>857250</wp:posOffset>
            </wp:positionV>
            <wp:extent cx="5743575" cy="32194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F3" w:rsidRPr="0082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08-013</w:t>
      </w:r>
      <w:r w:rsidR="00AB10F3" w:rsidRPr="00AB10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AB10F3" w:rsidRPr="00AB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БА-64Б 4х4 2-дверный лёгкий бронеавтомобиль на базе ГАЗ-67, экипаж 2, вооружение: пулемет ДТ, глубина брода 0.9 м, боевой вес 2.425 т, </w:t>
      </w:r>
      <w:r w:rsidR="00DD3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ГАЗ-64 </w:t>
      </w:r>
      <w:r w:rsidR="00AB10F3" w:rsidRPr="00AB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50/54 </w:t>
      </w:r>
      <w:proofErr w:type="spellStart"/>
      <w:r w:rsidR="00AB10F3" w:rsidRPr="00AB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B10F3" w:rsidRPr="00AB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40 км/час, первый серийный в СССР, 5160 экз.,</w:t>
      </w:r>
      <w:r w:rsidR="0090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 </w:t>
      </w:r>
      <w:r w:rsidR="00AB10F3" w:rsidRPr="00AB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Горький</w:t>
      </w:r>
      <w:r w:rsidR="0090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B10F3" w:rsidRPr="00AB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1943-46 г.</w:t>
      </w:r>
    </w:p>
    <w:p w:rsidR="00AB10F3" w:rsidRDefault="00AB10F3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AB10F3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F" w:rsidRDefault="009062FF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6B" w:rsidRDefault="000A145B" w:rsidP="000A4C6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D5C" w:rsidRPr="009062FF" w:rsidRDefault="00860D5C" w:rsidP="00860D5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http://aviarmor.net/tww2/armored_cars/ussr/ba-64.htm</w:t>
      </w:r>
    </w:p>
    <w:p w:rsidR="00D457F1" w:rsidRDefault="00860D5C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августу 1941 года, сложилась такая ситуация, когда выпуск бронемашин БА-10 и БА-20 постепенно сворачивался, а достойной замены им так и не нашлось. Чтобы исправить этот недочет в сентябре на совещании где присутствовали главный конструктор ГАЗ А.</w:t>
      </w:r>
      <w:r w:rsidR="008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Липгарт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заместитель Н.</w:t>
      </w:r>
      <w:r w:rsidR="008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 (ранее известный своими плавающими танками и недавно командированный в Горький из Москвы) и другие сотрудники КБ, было принято решение разработать новый легкий бронеавтомобиль. В его создании также приняли участие конструкторы Ю.Н.</w:t>
      </w:r>
      <w:r w:rsidR="008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Сорочкин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Б.Т.</w:t>
      </w:r>
      <w:r w:rsidR="008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Комаревский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В.Ф.</w:t>
      </w:r>
      <w:r w:rsidR="008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Самойлов. Первоначальный проект предусматривал использование ходовой части от вездеходного автомобиля ГАЗ-64, совмещенный с наработками, полученными при создании ЛБ-62 и испытаниях немецкой трофейной бронемашины Sd.Kfz.221. Поскольку машина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имела достаточно небольшие размеры её экипаж ограничили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2-х человек, а вооружение состояло из одного 7,62-мм пулемета ДТ. Проект бронемашины спустя несколько дней был передан в НКСМ, а оттуда он попал на рассмотрение ГАБТУ РККА. У военных разработка КБ ГАЗ получила должную поддержку, что было неудивительно – имевшиеся тогда на вооружении ФАИ\ФАИ-М и БА-20 уже давно не отвечали требованиям, выдвигаемыми к легкому бронеавтомобилю. Детальное проектирование бронеавтомобиля, получившего обозначение ГАЗ-64-125 (встречается также обозначение “изделие 64-125”), началось во второй декаде октября 1941 года. Работа продвигалась быстрыми темпами – в ноябре были готовы рабочие чертежи и первые детали, а в декабре началась сборка машины, которая 9 января 1942 года совершила первый пробег. От “сентябрьского” проекта ГАЗ-64-125 имел минимальные отличия. Как и планировалось, за основу было взято шасси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ГАЗ-64, но с целым рядом доработок. Было изменено расположение педалей, рычагов и рулевого управления, усилены рессоры, установлены амортизаторы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М-1 с торсионным стабилизатором боковой устойчивости на задней подвеске, появился новый бензобак увеличенного объёма и т.д. </w:t>
      </w:r>
      <w:r w:rsidR="0000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бронемашины сваривался из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катаных броневых листов толщиной от 4 до 15 мм и внешне напоминал корпус от ЛБ-62. Ориентируясь на хорошие свойства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пулестойкости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двускатных бортов и лобовых листов, установленных с большими углами наклона, их также применили на ГАЗ-64-125. В верхнем лобовом листе был сделан небольшой люк прямоугольной формы со смотровой щелью, закрытой стеклоблоком “Триплекс”, который заимствовали от танка Т-60. По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бортам располагались боковые смотровые щели со стеклами “Триплекс”. Комплект приборов у ГАЗ-64-125 был минимальным: в распоряжении водителя имелись только спидометр и аэрометр, а также сокращенный набор ЗИП. До предела «ужав» корпус, конструкторы были вынуждены проявить немало изобретательности, чтобы рацио</w:t>
      </w:r>
      <w:r w:rsidR="009B1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 разместить в нем экипаж.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максимальных углов обстрела, достигавших по вертикали 75° (огонь мог вестись как по наземным, так и по воздушным целям), и большего удобства при обслуживании пулемета башня не имела крыши и в боевом положении закрывалась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противогранатной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сеткой, как это было сделано на Sd.Kfz.221\222. Боекомплект состоял из 1260 патронов (20 магазинов), размещавшихся в боевом отделении. Опытный образец оборудовался радиостанцией РБ-64 со штыревой антенной. Испытания прототипа ГАЗ-64-125 в течени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проводились на заводском полигоне. Как и ожидалось, опытный образец обладал целым “букетом” недостатков, однако все они не носили критического характера. В начале февраля 1942 года бронеавтомобиль прошел серию доработок и с 19 по 23 февраля он прошел испытания пробегом и стрельбой на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Софринском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артиллерийском полигоне. В общей сложности машины прошла 318 км, в основном по заснеженным трассам. За это время из пулемета сделали 378 выстрелов. В отчете об испытаниях, составленным полковником Малыгиным, было отмечено, что из-за более широкой колеи ГАЗ-64-125 не может нормально идти по заснеженному санному пути, поскольку при этом происходило вывешивание колес и машина “садилась” на жесткую наезженную часть дороги. Кроме того, было рекомендовано установить перегородку, закрывавшую бензобак от боевого отделения, устранить зазор между корпусом и башней, усилить плиту ниши башни и провести ряд более мелких доработок. Вместе с тем, проходимость бронеавтомобиля оказалась намного лучше — он успешно преодолевал на твердом грунте подъемы свыше 30°, броды глубиной до 0,9 м и скользкие косогоры с уклоном до 18°. Более удобным, чем у БА-20, было обслуживание пулемета и стрельба из него. Комиссия рекомендовала принять ГАЗ-64-125 на вооружение для использования в качестве машины связи и охранения, а также для передачи авиадесантным и истребительным частям. Первый экземпляр отчета об испытаниях был передан “наверх” 27 февраля 1942 года и 3 марта прототип был продемонстрирован в Кремле членам правительства. Бронеавтомобиль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 хорошее впечатление и 17 марта было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издано постановление о его приёме на вооружение РККА и начале серийного выпуска на ГАЗ под обозначением БА-64. </w:t>
      </w:r>
      <w:r w:rsidR="0068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457F1" w:rsidRDefault="00D457F1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Бронеавтомобиль БА-64 был выполнен по классической схеме с передним расположением двигателя, передними управляемыми и всеми ведущими колесами, с неразрезными мостами, подвешенными впереди на четырех </w:t>
      </w:r>
      <w:proofErr w:type="spell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четвертьэллиптических</w:t>
      </w:r>
      <w:proofErr w:type="spell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сзади - на двух полуэллиптических рессорах. Сверху на раму от ГАЗ-64 монтировался многогранный цельносварной корпус, изготовленный из листов катаной стали толщиной от 4 мм до 15 мм. У корпуса были значительные углы наклона броневых листов к горизонтальной плоскости, сравнительно небольшие габаритные размеры и масса. Борта корпуса состояли из двух поясов </w:t>
      </w:r>
      <w:proofErr w:type="spell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бронелистов</w:t>
      </w:r>
      <w:proofErr w:type="spell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9-миллиметровой толщины, которые для повышения </w:t>
      </w:r>
      <w:proofErr w:type="spell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пулестойкости</w:t>
      </w:r>
      <w:proofErr w:type="spell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располагались так, что продольные и поперечные сечения корпуса представляли собой две сложенные основаниями трапеции. Для входа и выхода из машины экипаж располагал двумя открывавшимися назад и вниз дверями, которые находились в нижних частях бортов справа и слева от водителя.</w:t>
      </w:r>
    </w:p>
    <w:p w:rsidR="00D457F1" w:rsidRDefault="00D457F1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задней части корпуса размещалась </w:t>
      </w:r>
      <w:proofErr w:type="spell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бронекрышка</w:t>
      </w:r>
      <w:proofErr w:type="spell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защищавшая</w:t>
      </w:r>
      <w:proofErr w:type="gram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заливную горловину бензобака. Корпус БА-64 не имел заклепочных соединений - стыки листов брони были гладкими и ровными. Петли дверей и люков - наружные, приварные или на выступающих заклепках. Доступ к двигателю осуществлялся через </w:t>
      </w:r>
      <w:proofErr w:type="gram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открываемую назад </w:t>
      </w:r>
      <w:proofErr w:type="spell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бронекрышку</w:t>
      </w:r>
      <w:proofErr w:type="spell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моторного отделения. Все люки, двери и крышки запирались снаружи и изнутри. Впоследствии для улучшения условий работы водителя были введены воздухозаборники на верхней крышке капота и в передней части крышки бронекорпуса. На нижнем левом бортовом </w:t>
      </w:r>
      <w:proofErr w:type="spellStart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бронелисте</w:t>
      </w:r>
      <w:proofErr w:type="spellEnd"/>
      <w:r w:rsidRPr="00D4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дверцей двумя хомутами крепился механический винтовой домкрат.</w:t>
      </w:r>
    </w:p>
    <w:p w:rsidR="00D457F1" w:rsidRDefault="00D457F1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бронемашины располагался в отделении управления по центру машины, а за ним, повыше, располагался командир</w:t>
      </w:r>
      <w:proofErr w:type="gramStart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ыполнявший обязанности пулеметчика. Наблюдать за дорогой и местностью водитель мог через зеркальный прибор наблюдения типа "триплекс", установленный в открывающемся люке лобового листа корпуса и защищаемый снаружи </w:t>
      </w:r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бронезаслонкой. На некоторых машинах в верхних боковых листах отделения управления устанавливались лючки для бокового обзора, открывавшиеся при необходимости водителем. В задней части бронеавтомобиля на крыше корпуса была установлена башня кругового вращения, сваренная из </w:t>
      </w:r>
      <w:proofErr w:type="spellStart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бронелистов</w:t>
      </w:r>
      <w:proofErr w:type="spellEnd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10 мм и имевшая форму восьмигранной пирамиды. В передней части стык башни с корпусом экранировался защитной накладкой. Башня устанавливалась в корпусе бронеавтомобиля на конусной колонке. Вращение башни осуществлялось вручную усилием командира-стрелка, который мог повернуть ее и остановить в требуемом положении с помощью тормоза. В лобовой стенке башни имелась амбразура для ведения огня по наземным целям, а в ее боковых стенках приборы наблюдения. Бронеавтомобиль БА-64 был вооружен 7,62 мм пулеметом ДТ (</w:t>
      </w:r>
      <w:proofErr w:type="gramStart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Дегтярева-танковый</w:t>
      </w:r>
      <w:proofErr w:type="gramEnd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обеспечивал круговой обстрел из башни наземных целей на дистанции до 1000 метров и воздушных целей на высоте до 500 метров. Пулемет мог выдвигаться по стойке вверх из вертикальной амбразуры башни и фиксироваться на любой высоте. Большинство бронемашин были оснащены радиостанциями радиусом действия 8-12 км</w:t>
      </w:r>
      <w:proofErr w:type="gramStart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антенной на задней боковой стенке башни. </w:t>
      </w:r>
      <w:r w:rsid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бронемашины располагался в отделении управления по центру машины, а за ним, повыше, располагался командир</w:t>
      </w:r>
      <w:proofErr w:type="gramStart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ыполнявший обязанности пулеметчика. Наблюдать за дорогой и местностью водитель мог через зеркальный прибор наблюдения типа "триплекс", установленный в открывающемся люке лобового листа корпуса и защищаемый снаружи бронезаслонкой. На некоторых машинах в верхних боковых листах отделения управления устанавливались лючки для бокового обзора, открывавшиеся при необходимости водителем. В задней части бронеавтомобиля на крыше корпуса была установлена башня кругового вращения, сваренная из </w:t>
      </w:r>
      <w:proofErr w:type="spellStart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бронелистов</w:t>
      </w:r>
      <w:proofErr w:type="spellEnd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10 мм и имевшая форму восьмигранной пирамиды. В передней части стык башни с корпусом экранировался защитной накладкой. Сверху башня была открытой и на первых образцах закрывалась </w:t>
      </w:r>
      <w:proofErr w:type="gramStart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откидном</w:t>
      </w:r>
      <w:proofErr w:type="gramEnd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сеткой. Башня устанавливалась в корпусе бронеавтомобиля на конусной колонке. Вращение башни осуществлялось вручную усилием командира-стрелка, который мог повернуть ее и остановить в требуемом положении с помощью тормоза. В лобовой стенке башни имелась амбразура для ведения огня по наземным целям, а в ее боковых стенках приборы наблюдения. Бронеавтомобиль БА-64 был вооружен 7,62 мм пулеметом ДТ (</w:t>
      </w:r>
      <w:proofErr w:type="gramStart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Дегтярева-танковый</w:t>
      </w:r>
      <w:proofErr w:type="gramEnd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обеспечивал круговой обстрел из башни наземных целей на дистанции до 1000 метров и воздушных целей на высоте до 500 метров. Пулемет мог выдвигаться по стойке вверх из вертикальной амбразуры башни и фиксироваться на любой высоте. Большинство бронемашин были оснащены радиостанциями радиусом действия 8-12 км</w:t>
      </w:r>
      <w:proofErr w:type="gramStart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972DC" w:rsidRPr="00A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антенной на задней боковой стенке башни. Бронеавтомобиль БА-64 имел следующие характеристики - длина корпуса 3,66 метра, ширина корпуса 1,53 метра, высота 1,90 метра, база 2,10 метра, колея 1,24 метра, клиренс 210 мм. Боевой вес 2360 кг. В моторном отсеке БА-64 был установлен двигатель ГАЗ-64, способный работать на низкосортных маслах и бензинах, что было крайне важно для эксплуатации бронемашины во фронтовых условиях. Четырехцилиндровый карбюраторный двигатель жидкостного охлаждения развивал мощность 50 л. с., что позволяло бронемашине двигаться по дорогам с твердым покрытием с максимальной скоростью 80 км/час. Подвеска бронеавтомобиля обеспечивала возможность движения по грунтовым дорогам и пересеченной местности со средней скоростью до 20 км/час. С полным баком емкостью 90 литров БА-64 мог пройти около 500 км. БА-64 успешно преодолевал на твердом грунте подъемы свыше 30 градусов, броды глубиной до 0,9 метра и скользкие косогоры с уклоном до 18 градусов.</w:t>
      </w:r>
      <w:r w:rsidR="0054371A" w:rsidRPr="0054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Подвеска бронеавтомобиля обеспечивала возможность движения по грунтовым дорогам и пересеченной местности со средней скоростью до 20 км/час. С полным баком емкостью 90 литров БА-64 мог пройти около 500 км. БА-64 успешно преодолевал на твердом грунте подъемы свыше 30 градусов, броды глубиной до 0,9 метра и скользкие косогоры с уклоном до 18 градусов.</w:t>
      </w:r>
    </w:p>
    <w:p w:rsidR="005C7AE3" w:rsidRDefault="006862DE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серийные бронемашины были построены уже в апреле 1942 года, однако ни один из них не был принят военной приёмкой по причине отсутствия шин ГК. Далее темпы выпуска должны были увеличиваться. За май надлежало сдать 250 машин, а за июнь – декабрь – по 400 машин ежемесячно, причем с сентября планировалось половину бронемашин выпускать в 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радиофицированном варианте. В процессе производства решили отказаться от использования </w:t>
      </w:r>
      <w:proofErr w:type="spellStart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противогранатной</w:t>
      </w:r>
      <w:proofErr w:type="spellEnd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сетки, которая больше мешала. Кроме того, долгое время не удавалось избавиться от одного из недостатков, присущих всех советским бронемашинам – по эксплуатации в летних условиях температура в боевом отделении поднималась до 55-60°. Во избежание этого, в передней части крыши корпуса прорезали вентиляционное отверстие, закрытое сверху броневым кожухом. “Радийные” машины оснащались радиостанциями РБ-64 или 12-РП. Войсковая эксплуатация БА-64 “обострила” ещё несколько дефектов, наиболее серьёзными из которых была слабая подвеска, плохой обзор с места водителя, недостаточное охлаждение двигателя и </w:t>
      </w:r>
      <w:r w:rsidR="00151C11" w:rsidRPr="00151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боковая устойчивость из-за узкой колеи базового автомобиля ГАЗ-64 и относительно высокого центра тяжести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приводило к уменьшению гарантийного пробега с 10000 до 1000-4000 км и массов</w:t>
      </w:r>
      <w:r w:rsidR="00C74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выходу бронемашин из строя.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время эти проблемы пытались решить “локальными” методами – так, с сентября 1942 года, по аналогии со средним БА-10, ввели дополнительный лючок к крыше моторного отделения, улучшив охлаждение двигателя. Однако существенно повысить боевую эффективность удалось только после появления модифицированного варианта </w:t>
      </w:r>
      <w:r w:rsidR="00860D5C" w:rsidRPr="0086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ГАЗ-64-125-Б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плане доработок шасси на нём применили более широкую колею, на передней оси установили 4 </w:t>
      </w:r>
      <w:proofErr w:type="spellStart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гидроамортизатора</w:t>
      </w:r>
      <w:proofErr w:type="spellEnd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устранили торсионный стабилизатор боковой устойчивости. Машина также получила новый двигатель мощностью 54 </w:t>
      </w:r>
      <w:proofErr w:type="spellStart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улучшенной системой охлаждения и двумя круглыми лючками в бортах передней части корпуса. Сборка модифицированных бронеавтомобилей, названных БА-64Б, началась зимой 1943 года. Процесс выпуска в это время набирал обороты, но после серии бомбовых налетов немецкой авиации на Горьковский автозавод, предпринятых с 5 по 14 июня 1943 года, выпуск машин был вынужденно приостановлен и возобновлен только в августе. До конца года изготовили ещё 191 “линейный” и 214 “радийных” бронеавтомобиля, при общем годовом объёме 1424 единицы. В 1944 году завод выпустил соответственно 1546 и 1404 БА-64Б, в 1945-м – 1742, а завершилось производство в 1946 году, когда военная приемка приняла последние 62 машины. Таким образом, </w:t>
      </w:r>
      <w:r w:rsidR="00860D5C" w:rsidRPr="0086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1942 по 1946 год было собрано 3903 БА-64 и 5160 БА-64Б, что сделало эту бронемашину самой массовой.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091" w:rsidRDefault="00860D5C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много внимания уделялось различным модификациям БА-64. Одной из первых появился железнодорожный вариант, который разрабатывался как на Выксунском заводе ДРО (БА-64В) и на Горьковском автозаводе (БА-64Г). Работы начались летом 1942 года и были предъявлены на испытания осенью. Машины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Выксе оснащалась домкратом и металлическими бандажами, а горьковский вариант имел четыре небольших ролика, попарно смонтированных на осях (движение осуществлялось за счет вращения основных колёс, которых касались рельс). В конце февраля 1943 года оба прототипа прошли испытания на полигоне ГАБТУ РККА. Наиболее оптимальным был признан вариант БА-64В, который прошел по рельсам 782 км и 250 км по грунту без единой поломки. Была зафиксирована максимальная скорость 82 км\ч, расход топлива составил 24 кг на 100 км, переход с колес на бандажи осуществлялся нетренированной командой за 25-30 минут. Тем не менее, собрав ещё две машины от выпуска этого варианта отк</w:t>
      </w:r>
      <w:r w:rsidR="00C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азались (как </w:t>
      </w:r>
      <w:proofErr w:type="gramStart"/>
      <w:r w:rsidR="00C74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="00C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БА-64Г)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сентябре 1942 года в КБ ГАЗ начались работы по установке на БА-64 пулемета ДШК. На опытном образце БА-64Д была смонтирована башня от танка Т-60 с пулеметом, закрепленном в специальном кронштейне, позволявшем вести стрельбу по воздушным целям (угол вертикальной наводки составил от -6° до +70°). Полная масса составила 2425 кг. В период с 3 по 6 апреля 1943 года бронеавтомобиль прошел испытания стрельбой, а 12 апреля его продемонстрировали представителям ГАБТУ РККА. </w:t>
      </w:r>
      <w:r w:rsidR="00EC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заслужила хорошую оценку. 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на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отказались от начала серийного производства БА-64Д, мотивируя это высокой сложностью размещения ленточного питания в небольшой башне бронемашины. В апреле 1944 года прошли испытания опытного образца БА-64 оснащенного пулеметом СГ-43 конструкции Горюнова. Машина не имела других изменений и по основным характеристикам не отличалась от серийных образцов, однако из-за отсутствия плечевого упора стрельба из СГ-43 при движении оказалась затруднительной и этот вариант поддержки не получил. Примерно в это же время, с сентября 1942 года, велись работы по превращению БА-64 в бронетранспортер. Новая машина, 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обозначенная как БА-64Е, поступила на испытания в марте 1943 года. Она отличалась измененным корпусом, в котором могло разместиться 5 человек, который располагались на двух скамейках по бортам. Вместо башни на крыше корпуса устанавливалась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турельная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с пулеметом ДТ. Предполагалось, что БА-64 может быть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автоматчиков, доставке боеприпасов и транспортировки 45-мм пушек. В начале апреля 1943 года был изготовлен вариант БА-64Е на ширококолейном шасси и без вооружения, после чего он был показан высшему руководству РККА. Уже к 1 июня планировалось построить 10 машин для войсковых испытаний, однако ГАЗ выпустил всего 3, которые вместе с двумя прототипами отправили в распоряжение 3-ю гвардейскую танковую армию и 7-й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сентябре 1943 и в декабре собрали ещё по три модифицированные машины, отличавшихся отсутствием крыши, дополнительными амбразурами по бортам и сидениями на 4-х человек, причем одна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оборудовалась радиостанцией 12-РТ (по документам она проходит на БАШ-64). Впрочем, на этом работы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бронетранспортерным вариантам БА-64 свернули. Более интересным был вариант БА-64З (“зимний”, также он именуется как БА-64СХ — «снегоходный»), представлявший собой обычный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бронеавтомобиль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на лыжно-гусеничный двигатель, разработанный инженером С.</w:t>
      </w:r>
      <w:r w:rsidR="0021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Неждановским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задних колес монтировались коробчатые лыжи с четырьмя небольшими сдвоенными катками по бокам. Гусеничная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редкозвенчатая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</w:t>
      </w:r>
      <w:proofErr w:type="gram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охватывала лыжи опираясь</w:t>
      </w:r>
      <w:proofErr w:type="gram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катки. Привод на цепь осуществлялся зубчатым колесом, смонтированным на ступице заднего колеса. Вместо передних колес устанавливались лыжи от грузовика ГАЗ-60. Испытания БА-64З, прошедшие с 30 января по 10 февраля 1943 г., показали, что “зимний” бронеавтомобиль уверенно преодолевает снежную целину, но управлять им крайне сложно, а расход топлива значительно возрос. Кроме того, максимальная скорость БА-64З составила всего 22 км\ч. Таким образом, от дальнейшего развития этой конструкции отказались. Существовало также немало модификаций, выполненных силами полевых ремонтных бригад. Наиболее часто встречался вариант БА-64 со срезанной верхней частью корпуса, превращенный в легкий БТР. Часть таких машин оснащалась вместо пулемета ДТ противотанковым ружьём ПТРС или ПТРД. Судя по всему, в единичном экземпляре был построен “штабной” БА-64, без верхней части корпуса и крыши, но с новыми сидениями и ветровым стеклом. </w:t>
      </w:r>
      <w:r w:rsidR="0072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C11" w:rsidRDefault="00860D5C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C11" w:rsidRPr="0085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малую огневую мощь, бронеавтомобили БА-64 успешно применялись при проведении десантных операций, разведывательных рейдов, для сопровождения и боевого охранения пехотных подразделений. Удачным оказалось применение БА-64 в уличных боях, где была возможность вести стрельбу по верхним этажам зданий. Они принимали участие во взятии польских, венгерских, румынских, австрийских городов, в штурме Берлина. Бронеавтомобиль БА-64 использовался для отражения атак вражеской авиации на марше и способствовал уменьшению потерь среди охраняемых войск.</w:t>
      </w:r>
    </w:p>
    <w:p w:rsidR="008575C6" w:rsidRDefault="00151C11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БА-64 использовались очень интенсивно, что в конечном итоге привело к большим потерям. По состоянию на 15 мая 1945 года в РККА оставалось порядка 3000 машин этого типа. </w:t>
      </w:r>
      <w:r w:rsidR="0072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088" w:rsidRPr="00527088" w:rsidRDefault="008575C6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БА-64 в 1944-1945 гг. передали дружественным армиям. Например, Войско Польское получило 81 машину (28 потеряно), которые эксплуатировались до 1956 года. Не менее 10 бронеавтомобилей было передано чехословацкому корпусу генерала Свободы, и ещё несколько десятков БА-64 отправили в армии ГДР, Югославии, Китая и Северной Кореи. Последний факт их боевого использования, по всей видимости, относится к</w:t>
      </w:r>
      <w:r w:rsidR="005E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раз к Корейской войне 1950-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53 г.</w:t>
      </w:r>
      <w:r w:rsidR="00860D5C"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распространённые</w:t>
      </w:r>
      <w:r w:rsidR="00527088" w:rsidRP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91" w:rsidRPr="005E0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  <w:r w:rsidR="00527088" w:rsidRPr="005E0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63A8" w:rsidRDefault="005A63A8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БА-64 (1942 г.) — в качестве базы использовался ГАЗ-64 с шириной колеи 1240 мм.</w:t>
      </w:r>
    </w:p>
    <w:p w:rsidR="00527088" w:rsidRPr="00527088" w:rsidRDefault="005A63A8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БА-</w:t>
      </w:r>
      <w:r w:rsidR="00527088" w:rsidRP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>64Б — улучшенный вариант первоначальной версии. В его основе лежат конструкционные решения ГАЗ-67;</w:t>
      </w:r>
    </w:p>
    <w:p w:rsidR="00527088" w:rsidRPr="00527088" w:rsidRDefault="00527088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БАШ-646 — штабная модификация. В зависимости от поставленных задач применялись разные виды бронекорпуса;</w:t>
      </w:r>
    </w:p>
    <w:p w:rsidR="00527088" w:rsidRDefault="005A63A8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БА-</w:t>
      </w:r>
      <w:r w:rsidR="00527088" w:rsidRP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>64Д — пулемёт ДТ-29 заменили на ДШК. В некоторых чертежах модель имела обозначение «64ДШК»;</w:t>
      </w:r>
    </w:p>
    <w:p w:rsidR="005901A4" w:rsidRPr="005901A4" w:rsidRDefault="005901A4" w:rsidP="00590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БА-64 с пулеметом Горюнова </w:t>
      </w:r>
    </w:p>
    <w:p w:rsidR="005901A4" w:rsidRPr="00527088" w:rsidRDefault="005901A4" w:rsidP="00590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БА-64 с ПТРС (пятизарядное противотанковое ружье системы Симонова (ПТРС-41)</w:t>
      </w:r>
      <w:proofErr w:type="gramEnd"/>
    </w:p>
    <w:p w:rsidR="00527088" w:rsidRPr="00527088" w:rsidRDefault="005A63A8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БА-</w:t>
      </w:r>
      <w:r w:rsidR="00527088" w:rsidRP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>64Е — вариант с увеличенным кузовом, вмещавшим в себя экипаж до шестерых человек;</w:t>
      </w:r>
    </w:p>
    <w:p w:rsidR="005901A4" w:rsidRPr="00527088" w:rsidRDefault="005A63A8" w:rsidP="005901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БА-</w:t>
      </w:r>
      <w:r w:rsidR="00527088" w:rsidRP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>64В и 64Г — модификация для железнодорожной отрасли. Транспорт передвигался по рельсам;</w:t>
      </w:r>
      <w:r w:rsidR="0059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088" w:rsidRDefault="00527088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БА-643 — концептуальный образец полугусеничного снегохода.</w:t>
      </w:r>
    </w:p>
    <w:p w:rsidR="00F5256A" w:rsidRPr="00C85D46" w:rsidRDefault="00860D5C" w:rsidP="00860D5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Источники: </w:t>
      </w:r>
      <w:bookmarkStart w:id="0" w:name="_GoBack"/>
      <w:bookmarkEnd w:id="0"/>
    </w:p>
    <w:p w:rsidR="00151C11" w:rsidRDefault="00860D5C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5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Коломиец «Броня на колесах. История советского бронеавтомобиля 1925-1945», Москва, Яуза \ </w:t>
      </w:r>
      <w:proofErr w:type="spellStart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</w:p>
    <w:p w:rsidR="00F5256A" w:rsidRDefault="00860D5C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«Бронеавтомобиль БА-64. Краткое руководство службы», Москва, Воениздат,1943 «Бронемашины», Москва, НИИБТ Полигон ГБТУ КА, 1944 </w:t>
      </w:r>
    </w:p>
    <w:p w:rsidR="00860D5C" w:rsidRDefault="00860D5C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«Вездеходы РККА», журнал Армада №7 </w:t>
      </w:r>
    </w:p>
    <w:p w:rsidR="00DB5683" w:rsidRPr="00860D5C" w:rsidRDefault="00860D5C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45" w:rightFromText="45" w:vertAnchor="text" w:tblpXSpec="center" w:tblpYSpec="center"/>
        <w:tblW w:w="10031" w:type="dxa"/>
        <w:tblLook w:val="04A0" w:firstRow="1" w:lastRow="0" w:firstColumn="1" w:lastColumn="0" w:noHBand="0" w:noVBand="1"/>
      </w:tblPr>
      <w:tblGrid>
        <w:gridCol w:w="2359"/>
        <w:gridCol w:w="3845"/>
        <w:gridCol w:w="3827"/>
      </w:tblGrid>
      <w:tr w:rsidR="000A7166" w:rsidRPr="00DB5683" w:rsidTr="000A7166">
        <w:tc>
          <w:tcPr>
            <w:tcW w:w="10031" w:type="dxa"/>
            <w:gridSpan w:val="3"/>
            <w:hideMark/>
          </w:tcPr>
          <w:p w:rsidR="00DB5683" w:rsidRPr="00DB5683" w:rsidRDefault="00D87E17" w:rsidP="00D87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87E1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ТАКТИКО-ТЕХНИЧЕСКИЕ ДАННЫЕ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3845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БА-64</w:t>
            </w:r>
          </w:p>
        </w:tc>
        <w:tc>
          <w:tcPr>
            <w:tcW w:w="3827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БА-64Б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827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827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827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3827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827" w:type="dxa"/>
            <w:hideMark/>
          </w:tcPr>
          <w:p w:rsidR="00DB5683" w:rsidRPr="00DB5683" w:rsidRDefault="00DB5683" w:rsidP="005F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Бронирование,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45" w:type="dxa"/>
            <w:hideMark/>
          </w:tcPr>
          <w:p w:rsidR="00DB5683" w:rsidRPr="00DB5683" w:rsidRDefault="00D87E17" w:rsidP="00D8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 15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Борт 9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Корма 11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Крыша 6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5683"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Днище 4 мм</w:t>
            </w:r>
          </w:p>
        </w:tc>
        <w:tc>
          <w:tcPr>
            <w:tcW w:w="3827" w:type="dxa"/>
            <w:hideMark/>
          </w:tcPr>
          <w:p w:rsidR="000A145B" w:rsidRDefault="000A145B" w:rsidP="00D8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 15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Борт 9 мм </w:t>
            </w:r>
          </w:p>
          <w:p w:rsidR="00DB5683" w:rsidRPr="00DB5683" w:rsidRDefault="000A145B" w:rsidP="00D8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Корма 11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Крыша 6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5683"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Днище 4 мм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Вооружение</w:t>
            </w:r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7.62 мм ДТ</w:t>
            </w:r>
          </w:p>
        </w:tc>
        <w:tc>
          <w:tcPr>
            <w:tcW w:w="3827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7.62 мм ДТ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Боезапас</w:t>
            </w:r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 патронов</w:t>
            </w:r>
          </w:p>
        </w:tc>
        <w:tc>
          <w:tcPr>
            <w:tcW w:w="3827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 патронов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3845" w:type="dxa"/>
            <w:hideMark/>
          </w:tcPr>
          <w:p w:rsidR="00DB5683" w:rsidRPr="00DB5683" w:rsidRDefault="00DB5683" w:rsidP="000A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"ГАЗ-64" 50 </w:t>
            </w:r>
            <w:proofErr w:type="spell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</w:t>
            </w:r>
            <w:r w:rsidR="000A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илиндровый</w:t>
            </w:r>
          </w:p>
        </w:tc>
        <w:tc>
          <w:tcPr>
            <w:tcW w:w="3827" w:type="dxa"/>
            <w:hideMark/>
          </w:tcPr>
          <w:p w:rsidR="00DB5683" w:rsidRPr="00DB5683" w:rsidRDefault="00DB5683" w:rsidP="000A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"ГАЗ-64", 54 </w:t>
            </w:r>
            <w:proofErr w:type="spell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4-цилиндровый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7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87E17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3845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5256A" w:rsidRPr="00DB5683" w:rsidTr="000A7166">
        <w:tc>
          <w:tcPr>
            <w:tcW w:w="0" w:type="auto"/>
            <w:hideMark/>
          </w:tcPr>
          <w:p w:rsidR="00DB5683" w:rsidRPr="00DB5683" w:rsidRDefault="00DB5683" w:rsidP="005F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Выпущено, </w:t>
            </w:r>
            <w:proofErr w:type="spellStart"/>
            <w:proofErr w:type="gramStart"/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72" w:type="dxa"/>
            <w:gridSpan w:val="2"/>
            <w:hideMark/>
          </w:tcPr>
          <w:p w:rsidR="00DB5683" w:rsidRPr="00DB5683" w:rsidRDefault="00DB5683" w:rsidP="00DB5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9063</w:t>
            </w:r>
          </w:p>
        </w:tc>
      </w:tr>
    </w:tbl>
    <w:p w:rsidR="00860D5C" w:rsidRPr="00860D5C" w:rsidRDefault="00C85D46" w:rsidP="00860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6AFCA1" wp14:editId="366A8B6C">
            <wp:simplePos x="0" y="0"/>
            <wp:positionH relativeFrom="margin">
              <wp:posOffset>22225</wp:posOffset>
            </wp:positionH>
            <wp:positionV relativeFrom="margin">
              <wp:posOffset>5836920</wp:posOffset>
            </wp:positionV>
            <wp:extent cx="6275705" cy="2294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D5C" w:rsidRPr="00527088" w:rsidRDefault="00860D5C" w:rsidP="005270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C729B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15F"/>
    <w:multiLevelType w:val="multilevel"/>
    <w:tmpl w:val="7DB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0"/>
    <w:rsid w:val="00006711"/>
    <w:rsid w:val="000930A4"/>
    <w:rsid w:val="000A145B"/>
    <w:rsid w:val="000A4C6B"/>
    <w:rsid w:val="000A7166"/>
    <w:rsid w:val="000B3C75"/>
    <w:rsid w:val="000E5ABB"/>
    <w:rsid w:val="00151C11"/>
    <w:rsid w:val="00165EB2"/>
    <w:rsid w:val="001767BA"/>
    <w:rsid w:val="001B03F6"/>
    <w:rsid w:val="00214E42"/>
    <w:rsid w:val="00251790"/>
    <w:rsid w:val="00280BBA"/>
    <w:rsid w:val="00290005"/>
    <w:rsid w:val="002F240B"/>
    <w:rsid w:val="002F440F"/>
    <w:rsid w:val="003F2D0F"/>
    <w:rsid w:val="00416C64"/>
    <w:rsid w:val="004D2F93"/>
    <w:rsid w:val="00503C57"/>
    <w:rsid w:val="0052150E"/>
    <w:rsid w:val="00527088"/>
    <w:rsid w:val="0054371A"/>
    <w:rsid w:val="005901A4"/>
    <w:rsid w:val="005A63A8"/>
    <w:rsid w:val="005C7AE3"/>
    <w:rsid w:val="005E0DA7"/>
    <w:rsid w:val="005F4AD9"/>
    <w:rsid w:val="00645811"/>
    <w:rsid w:val="006862DE"/>
    <w:rsid w:val="006A6A75"/>
    <w:rsid w:val="00724091"/>
    <w:rsid w:val="0075120A"/>
    <w:rsid w:val="007C53D9"/>
    <w:rsid w:val="007E7CF5"/>
    <w:rsid w:val="00824233"/>
    <w:rsid w:val="008575C6"/>
    <w:rsid w:val="00860D5C"/>
    <w:rsid w:val="008640CA"/>
    <w:rsid w:val="008843A3"/>
    <w:rsid w:val="00892711"/>
    <w:rsid w:val="008A48E8"/>
    <w:rsid w:val="008E611E"/>
    <w:rsid w:val="00901485"/>
    <w:rsid w:val="009062FF"/>
    <w:rsid w:val="00992D13"/>
    <w:rsid w:val="009B1D4A"/>
    <w:rsid w:val="009D0928"/>
    <w:rsid w:val="009D6E08"/>
    <w:rsid w:val="009F111E"/>
    <w:rsid w:val="00A01D97"/>
    <w:rsid w:val="00A45B63"/>
    <w:rsid w:val="00A5181D"/>
    <w:rsid w:val="00A972DC"/>
    <w:rsid w:val="00AB10F3"/>
    <w:rsid w:val="00B14F27"/>
    <w:rsid w:val="00B40E51"/>
    <w:rsid w:val="00B4270E"/>
    <w:rsid w:val="00B64B88"/>
    <w:rsid w:val="00BB5EB9"/>
    <w:rsid w:val="00C43757"/>
    <w:rsid w:val="00C639F7"/>
    <w:rsid w:val="00C7245A"/>
    <w:rsid w:val="00C729BE"/>
    <w:rsid w:val="00C74EC2"/>
    <w:rsid w:val="00C85D46"/>
    <w:rsid w:val="00D457F1"/>
    <w:rsid w:val="00D87E17"/>
    <w:rsid w:val="00DB5683"/>
    <w:rsid w:val="00DD3B54"/>
    <w:rsid w:val="00DF57B0"/>
    <w:rsid w:val="00E02EA7"/>
    <w:rsid w:val="00EC7E52"/>
    <w:rsid w:val="00F25D02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5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B56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5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B56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2019-11-30T13:39:00Z</dcterms:created>
  <dcterms:modified xsi:type="dcterms:W3CDTF">2023-08-21T12:52:00Z</dcterms:modified>
</cp:coreProperties>
</file>