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53" w:rsidRPr="007F1C53" w:rsidRDefault="007F1C53" w:rsidP="007F1C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07-393 Авто</w:t>
      </w:r>
      <w:r w:rsidR="00360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вышка с</w:t>
      </w:r>
      <w:r w:rsidRPr="007F1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телескопически</w:t>
      </w:r>
      <w:r w:rsidR="00360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7F1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канатны</w:t>
      </w:r>
      <w:r w:rsidR="00360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7F1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подъемник</w:t>
      </w:r>
      <w:r w:rsidR="00360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Pr="007F1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2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рабочей высотой </w:t>
      </w:r>
      <w:r w:rsidRPr="007F1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11 м на ш</w:t>
      </w:r>
      <w:bookmarkStart w:id="0" w:name="_GoBack"/>
      <w:bookmarkEnd w:id="0"/>
      <w:r w:rsidRPr="007F1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асси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ГАЗ-АА или </w:t>
      </w:r>
      <w:r w:rsidRPr="007F1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ГАЗ-ММ 4х2</w:t>
      </w:r>
      <w:r w:rsidR="00C32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1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2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нагрузка на люльку до</w:t>
      </w:r>
      <w:r w:rsidRPr="007F1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150 кг, мест 2, полный вес 3.25 т,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40/</w:t>
      </w:r>
      <w:r w:rsidRPr="007F1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50 </w:t>
      </w:r>
      <w:proofErr w:type="spellStart"/>
      <w:r w:rsidRPr="007F1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7F1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штучно, Управления местной промышленности, г. Москва и Ленинград, с 1937 г.</w:t>
      </w:r>
    </w:p>
    <w:p w:rsidR="007F1C53" w:rsidRDefault="007B27E8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8A6E60" wp14:editId="16B932DE">
            <wp:simplePos x="0" y="0"/>
            <wp:positionH relativeFrom="margin">
              <wp:posOffset>723900</wp:posOffset>
            </wp:positionH>
            <wp:positionV relativeFrom="margin">
              <wp:posOffset>876300</wp:posOffset>
            </wp:positionV>
            <wp:extent cx="4761865" cy="35712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C53" w:rsidRDefault="007F1C53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53" w:rsidRDefault="007F1C53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E8" w:rsidRDefault="007B27E8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E8" w:rsidRDefault="007B27E8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E8" w:rsidRDefault="007B27E8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E8" w:rsidRDefault="007B27E8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E8" w:rsidRDefault="007B27E8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E8" w:rsidRDefault="007B27E8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E8" w:rsidRDefault="007B27E8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E8" w:rsidRDefault="007B27E8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E8" w:rsidRDefault="007B27E8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E8" w:rsidRDefault="007B27E8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E8" w:rsidRDefault="007B27E8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E8" w:rsidRDefault="007B27E8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E8" w:rsidRDefault="007B27E8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E8" w:rsidRDefault="007B27E8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E8" w:rsidRDefault="007B27E8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E8" w:rsidRDefault="007B27E8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E8" w:rsidRDefault="007B27E8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E8" w:rsidRDefault="007B27E8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A0" w:rsidRDefault="005569A0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9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встречающееся наименование ТВГ-11 документами не подтверждается, да и невозможно, так как "Г" означает гидравлический привод лебедки, а на этой машине он механический.</w:t>
      </w:r>
    </w:p>
    <w:p w:rsidR="0040531C" w:rsidRDefault="005569A0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31C" w:rsidRPr="007B2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Изобретатель</w:t>
      </w:r>
      <w:r w:rsidR="0040531C" w:rsidRPr="00405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531C" w:rsidRPr="0040531C">
        <w:rPr>
          <w:rFonts w:ascii="Times New Roman" w:eastAsia="Times New Roman" w:hAnsi="Times New Roman" w:cs="Times New Roman"/>
          <w:sz w:val="24"/>
          <w:szCs w:val="24"/>
          <w:lang w:eastAsia="ru-RU"/>
        </w:rPr>
        <w:t>Я. И. Иоффе</w:t>
      </w:r>
      <w:r w:rsidR="005F0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5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4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531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вторское свидетельство</w:t>
      </w:r>
      <w:r w:rsidR="0040531C" w:rsidRPr="00405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№51167</w:t>
      </w:r>
      <w:r w:rsidR="00405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F0466" w:rsidRPr="005F04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Раздвижное устройство для монтажа проводов электрических воздушных линий</w:t>
      </w:r>
      <w:r w:rsidR="005F04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531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Выдано НКТП</w:t>
      </w:r>
      <w:r w:rsidR="001B2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</w:t>
      </w:r>
      <w:r w:rsidR="004053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="005F046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арегистрировано в Государстве</w:t>
      </w:r>
      <w:r w:rsidR="0040531C" w:rsidRPr="0040531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бюро последующей регистрации изобретений при Госплане СССР</w:t>
      </w:r>
      <w:r w:rsidR="004053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77076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 17 января 1935 год</w:t>
      </w:r>
      <w:r w:rsidR="005F0466" w:rsidRPr="005F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 </w:t>
      </w:r>
      <w:r w:rsidR="005F046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F0466" w:rsidRPr="005F0466">
        <w:rPr>
          <w:rFonts w:ascii="Times New Roman" w:eastAsia="Times New Roman" w:hAnsi="Times New Roman" w:cs="Times New Roman"/>
          <w:sz w:val="24"/>
          <w:szCs w:val="24"/>
          <w:lang w:eastAsia="ru-RU"/>
        </w:rPr>
        <w:t>160997.</w:t>
      </w:r>
      <w:r w:rsidR="005F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466" w:rsidRPr="005F0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 30 июня 1937 года.</w:t>
      </w:r>
    </w:p>
    <w:p w:rsidR="0040531C" w:rsidRDefault="0040531C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D4" w:rsidRDefault="00207934" w:rsidP="00360E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 А. Засов, К. М. Полтев, кандидаты технических наук. Справочник по машинам и</w:t>
      </w:r>
      <w:r w:rsidR="008B4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B4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механизмам для городских коммунальных работ.  Изд. </w:t>
      </w:r>
      <w:proofErr w:type="spellStart"/>
      <w:r w:rsidRPr="008B4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Минкомхоза</w:t>
      </w:r>
      <w:proofErr w:type="spellEnd"/>
      <w:r w:rsidRPr="008B4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РСФСР, М. 1952 г.</w:t>
      </w:r>
    </w:p>
    <w:p w:rsidR="008B4BD4" w:rsidRPr="004A5EBA" w:rsidRDefault="008B4BD4" w:rsidP="009902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Автомобильный телескопический подъемник.</w:t>
      </w:r>
    </w:p>
    <w:p w:rsidR="008B4BD4" w:rsidRPr="008B4BD4" w:rsidRDefault="004A5EBA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Телескопический подъемник предназначен для подъема людей, инструмента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на высоту до 10—15 м. Может быть применен при устройстве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новых, ремонте и обслуживании существующих электрических сетей трамвая,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троллейбуса, уличного освещения, установке на тросах дорожных знаков и светофоров, для</w:t>
      </w:r>
      <w:r w:rsidR="0099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 и ухода за искусственными сооружениями и древонасаждениями.</w:t>
      </w:r>
    </w:p>
    <w:p w:rsidR="008B4BD4" w:rsidRPr="008B4BD4" w:rsidRDefault="00990239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Телескопический подъемник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на шасси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 ГАЗ-</w:t>
      </w:r>
      <w:proofErr w:type="gramStart"/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MM</w:t>
      </w:r>
      <w:proofErr w:type="gramEnd"/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ГАЗ-51.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Подъемник имеет пять звеньев, представляющих собой стальные трубы,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входящие одна в другую с минимальным зазором.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Наружная труба является основанием телескопической части, и в нее</w:t>
      </w:r>
    </w:p>
    <w:p w:rsidR="008B4BD4" w:rsidRPr="008B4BD4" w:rsidRDefault="00990239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холят</w:t>
      </w:r>
      <w:proofErr w:type="spellEnd"/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остальные подвижные звенья.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Наружная труба соединена с кронштейном,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укрепленным на шасси автомобиля при помощи пальца, являющегося осью вращения трубы при ее установке из транспортного положения </w:t>
      </w:r>
      <w:proofErr w:type="gramStart"/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рабочее и наоборот.</w:t>
      </w:r>
    </w:p>
    <w:p w:rsidR="008B4BD4" w:rsidRPr="008B4BD4" w:rsidRDefault="00DB734E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нижней части наружной трубы имеется опорная пята, которая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рабочем положении подъемника входит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гнездо кронштейна, укрепленного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раме, и закрепляется в нем шкворнем.</w:t>
      </w:r>
    </w:p>
    <w:p w:rsidR="008B4BD4" w:rsidRPr="008B4BD4" w:rsidRDefault="00DB734E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Труба внутреннего звена имеет длину, </w:t>
      </w:r>
      <w:proofErr w:type="gramStart"/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большую</w:t>
      </w:r>
      <w:proofErr w:type="gramEnd"/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остальные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венья. На верхнем конце внутреннего звена крепится металлическая корзина,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предназначенная для подъема рабочего, инструмента и материала.</w:t>
      </w:r>
    </w:p>
    <w:p w:rsidR="008B4BD4" w:rsidRPr="008B4BD4" w:rsidRDefault="00DB734E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Подъемное устройство телескопического подъемника состоит из лебедки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канатной системы.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верхних концах остальных звеньев, а у наружного звена и на нижней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части, на стороне, обращенной к автомобилю, установлены ролики, через которые проходят стальные канаты; они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закреплены одним концом в нижней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звена, проходят по пазу в трубах, по канавкам роликов и прикрепляются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концом к кронштейнам ролика предыдущего звена большего диаметра.</w:t>
      </w:r>
      <w:proofErr w:type="gramEnd"/>
    </w:p>
    <w:p w:rsidR="008B4BD4" w:rsidRPr="008B4BD4" w:rsidRDefault="008B4BD4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закреплены канаты</w:t>
      </w:r>
      <w:r w:rsidR="00DB7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звеньев, за исключением</w:t>
      </w:r>
      <w:r w:rsidR="00DB7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наружного, у которого конец</w:t>
      </w:r>
      <w:r w:rsidR="00DB7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каната крепится н</w:t>
      </w:r>
      <w:r w:rsidR="001A06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кронштейну ролика, а проходит через</w:t>
      </w:r>
      <w:r w:rsidR="001A0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ролик, расположенный в нижней части, и наматывается на</w:t>
      </w:r>
      <w:r w:rsidR="001A0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 лебедки.</w:t>
      </w:r>
    </w:p>
    <w:p w:rsidR="008B4BD4" w:rsidRPr="008B4BD4" w:rsidRDefault="001A06E0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Лебедка имеет червячный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 и получает движение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двигателя автомобиля, 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коробку отбора мощности.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удержания подъемника в раздвинутом состоянии червяк привода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 </w:t>
      </w:r>
      <w:proofErr w:type="gramStart"/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самотормозящим</w:t>
      </w:r>
      <w:proofErr w:type="gramEnd"/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Подъем телескопического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подъемника из транспортного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положение осуществляется от лебедки с 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каната, соединенного с первым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наружным выдвигаемым звеном.</w:t>
      </w:r>
    </w:p>
    <w:p w:rsidR="008B4BD4" w:rsidRDefault="00417CA3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подъемника в</w:t>
      </w:r>
      <w:r w:rsidR="00D35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положение производится при помощи второго</w:t>
      </w:r>
      <w:r w:rsidR="00D35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D4" w:rsidRPr="008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каната, закрепленного на барабане. Свободный конец этого каната соединяется с проушиной.</w:t>
      </w:r>
      <w:r w:rsidR="0005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</w:t>
      </w:r>
      <w:r w:rsidR="007B27E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</w:t>
      </w:r>
      <w:r w:rsidR="00051B93" w:rsidRPr="00051B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от р</w:t>
      </w:r>
      <w:r w:rsidR="00051B9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аздви</w:t>
      </w:r>
      <w:r w:rsidR="00051B93" w:rsidRPr="0005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 звеньев при подъеме из транспортного положения в </w:t>
      </w:r>
      <w:proofErr w:type="gramStart"/>
      <w:r w:rsidR="00051B93" w:rsidRPr="00051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</w:t>
      </w:r>
      <w:proofErr w:type="gramEnd"/>
      <w:r w:rsidR="0005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B93" w:rsidRPr="00051B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наоборот звенья скрепляются куском цепи. При раздвижке подъемника цепь</w:t>
      </w:r>
      <w:r w:rsidR="00D35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B93" w:rsidRPr="00051B9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снимается.</w:t>
      </w:r>
    </w:p>
    <w:p w:rsidR="00D35C18" w:rsidRPr="00D35C18" w:rsidRDefault="00D35C18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C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транспортном положении подъемник закрепляется хомутом на специальном кронштейне. Кронштейны имеют пружины, служащие амортизаторами.</w:t>
      </w:r>
    </w:p>
    <w:p w:rsidR="00417CA3" w:rsidRDefault="00417CA3" w:rsidP="00417C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18" w:rsidRPr="00D35C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телескопического подъемника осуществляется следующим образом.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18" w:rsidRPr="00D35C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 хомут кронштейна, и подъемник посредством лебедки и каната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18" w:rsidRPr="00D35C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рабочее положение, в котором его опорная часть закрепляется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18" w:rsidRPr="00D35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шкворня. Затем со звеньев снимается цепочка и от лебедки 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18" w:rsidRPr="00D35C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же каната производится подъем первого подвижного звена. Одновременно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18" w:rsidRPr="00D35C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подъемом первого звена, благодаря способу крепления канатов, начнут подниматься и все остальные звенья. Возможность выхода звеньев друг из друга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18" w:rsidRPr="00D35C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устранена устройством на них специальных ограничительных выступов. Для придания подъемнику большей устойчивости, его снабжают опорными домкратами,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18" w:rsidRPr="00D35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расположенными на </w:t>
      </w:r>
      <w:proofErr w:type="gramStart"/>
      <w:r w:rsidR="00D35C18" w:rsidRPr="00D35C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заднем</w:t>
      </w:r>
      <w:proofErr w:type="gramEnd"/>
      <w:r w:rsidR="00D35C18" w:rsidRPr="00D35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копне рамы автомобиля.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18" w:rsidRDefault="00D35C18" w:rsidP="009902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</w:t>
      </w: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4426"/>
        <w:gridCol w:w="685"/>
        <w:gridCol w:w="1896"/>
        <w:gridCol w:w="1896"/>
      </w:tblGrid>
      <w:tr w:rsidR="00BB3E74" w:rsidRPr="00422995" w:rsidTr="004F7C46">
        <w:trPr>
          <w:trHeight w:hRule="exact" w:val="301"/>
          <w:jc w:val="center"/>
        </w:trPr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tabs>
                <w:tab w:val="left" w:leader="dot" w:pos="661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Марка автомобиля</w:t>
            </w:r>
          </w:p>
        </w:tc>
        <w:tc>
          <w:tcPr>
            <w:tcW w:w="0" w:type="auto"/>
          </w:tcPr>
          <w:p w:rsidR="00D35C18" w:rsidRPr="00BB3E74" w:rsidRDefault="00D35C18" w:rsidP="0099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ГАЗ-ММ</w:t>
            </w:r>
          </w:p>
        </w:tc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ГАЗ-51</w:t>
            </w:r>
          </w:p>
        </w:tc>
      </w:tr>
      <w:tr w:rsidR="00BB3E74" w:rsidRPr="00422995" w:rsidTr="007921A3">
        <w:trPr>
          <w:trHeight w:hRule="exact" w:val="290"/>
          <w:jc w:val="center"/>
        </w:trPr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Грузоподъемность подъемника</w:t>
            </w:r>
          </w:p>
        </w:tc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E74">
              <w:rPr>
                <w:iCs/>
                <w:sz w:val="24"/>
                <w:szCs w:val="24"/>
              </w:rPr>
              <w:t>кг</w:t>
            </w:r>
          </w:p>
        </w:tc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150</w:t>
            </w:r>
          </w:p>
        </w:tc>
      </w:tr>
      <w:tr w:rsidR="00BB3E74" w:rsidRPr="00422995" w:rsidTr="007921A3">
        <w:trPr>
          <w:trHeight w:hRule="exact" w:val="266"/>
          <w:jc w:val="center"/>
        </w:trPr>
        <w:tc>
          <w:tcPr>
            <w:tcW w:w="0" w:type="auto"/>
          </w:tcPr>
          <w:p w:rsidR="00D35C18" w:rsidRPr="00BB3E74" w:rsidRDefault="00BB3E74" w:rsidP="00990239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Наибольшая высота под</w:t>
            </w:r>
            <w:r w:rsidR="00D35C18" w:rsidRPr="00BB3E74">
              <w:rPr>
                <w:sz w:val="24"/>
                <w:szCs w:val="24"/>
              </w:rPr>
              <w:t>ъема</w:t>
            </w:r>
          </w:p>
        </w:tc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E74">
              <w:rPr>
                <w:iCs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15</w:t>
            </w:r>
          </w:p>
        </w:tc>
      </w:tr>
      <w:tr w:rsidR="00BB3E74" w:rsidRPr="00422995" w:rsidTr="007921A3">
        <w:trPr>
          <w:trHeight w:hRule="exact" w:val="299"/>
          <w:jc w:val="center"/>
        </w:trPr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tabs>
                <w:tab w:val="left" w:leader="dot" w:pos="660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Наименьшая высота подъема</w:t>
            </w:r>
          </w:p>
        </w:tc>
        <w:tc>
          <w:tcPr>
            <w:tcW w:w="0" w:type="auto"/>
          </w:tcPr>
          <w:p w:rsidR="00D35C18" w:rsidRPr="00BB3E74" w:rsidRDefault="004A5EBA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2,6</w:t>
            </w:r>
          </w:p>
        </w:tc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3,0</w:t>
            </w:r>
          </w:p>
        </w:tc>
      </w:tr>
      <w:tr w:rsidR="00BB3E74" w:rsidRPr="00422995" w:rsidTr="007921A3">
        <w:trPr>
          <w:trHeight w:hRule="exact" w:val="274"/>
          <w:jc w:val="center"/>
        </w:trPr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Время, затрачиваемое на полный подъем</w:t>
            </w:r>
          </w:p>
        </w:tc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мин.</w:t>
            </w:r>
          </w:p>
        </w:tc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1.0</w:t>
            </w:r>
          </w:p>
        </w:tc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1,0</w:t>
            </w:r>
          </w:p>
        </w:tc>
      </w:tr>
      <w:tr w:rsidR="00BB3E74" w:rsidRPr="00422995" w:rsidTr="004F7C46">
        <w:trPr>
          <w:trHeight w:hRule="exact" w:val="284"/>
          <w:jc w:val="center"/>
        </w:trPr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Передаточное отношение редуктора</w:t>
            </w:r>
          </w:p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ind w:hanging="48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5C18" w:rsidRPr="00BB3E74" w:rsidRDefault="00D35C18" w:rsidP="0099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60:1</w:t>
            </w:r>
          </w:p>
        </w:tc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60: 1</w:t>
            </w:r>
          </w:p>
        </w:tc>
      </w:tr>
      <w:tr w:rsidR="00BB3E74" w:rsidRPr="00422995" w:rsidTr="00F006B1">
        <w:trPr>
          <w:trHeight w:hRule="exact" w:val="584"/>
          <w:jc w:val="center"/>
        </w:trPr>
        <w:tc>
          <w:tcPr>
            <w:tcW w:w="0" w:type="auto"/>
          </w:tcPr>
          <w:p w:rsidR="00F006B1" w:rsidRDefault="00F006B1" w:rsidP="00F006B1">
            <w:pPr>
              <w:pStyle w:val="20"/>
              <w:shd w:val="clear" w:color="auto" w:fill="auto"/>
              <w:tabs>
                <w:tab w:val="left" w:leader="dot" w:pos="52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Габариты </w:t>
            </w:r>
            <w:r w:rsidRPr="00BB3E74">
              <w:rPr>
                <w:sz w:val="24"/>
                <w:szCs w:val="24"/>
              </w:rPr>
              <w:t>в транспортном</w:t>
            </w:r>
            <w:r>
              <w:rPr>
                <w:sz w:val="24"/>
                <w:szCs w:val="24"/>
              </w:rPr>
              <w:t xml:space="preserve"> п</w:t>
            </w:r>
            <w:r w:rsidRPr="00BB3E74">
              <w:rPr>
                <w:sz w:val="24"/>
                <w:szCs w:val="24"/>
              </w:rPr>
              <w:t>оложении:</w:t>
            </w:r>
          </w:p>
          <w:p w:rsidR="00D35C18" w:rsidRPr="00BB3E74" w:rsidRDefault="00D35C18" w:rsidP="00F006B1">
            <w:pPr>
              <w:pStyle w:val="20"/>
              <w:shd w:val="clear" w:color="auto" w:fill="auto"/>
              <w:tabs>
                <w:tab w:val="left" w:leader="dot" w:pos="522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длина</w:t>
            </w:r>
            <w:r w:rsidR="004F7C46" w:rsidRPr="00BB3E74">
              <w:rPr>
                <w:sz w:val="24"/>
                <w:szCs w:val="24"/>
              </w:rPr>
              <w:t xml:space="preserve"> ширина высота</w:t>
            </w:r>
          </w:p>
        </w:tc>
        <w:tc>
          <w:tcPr>
            <w:tcW w:w="0" w:type="auto"/>
          </w:tcPr>
          <w:p w:rsidR="00F006B1" w:rsidRDefault="00F006B1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</w:p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E74">
              <w:rPr>
                <w:iCs/>
                <w:sz w:val="24"/>
                <w:szCs w:val="24"/>
              </w:rPr>
              <w:t>мм</w:t>
            </w:r>
          </w:p>
        </w:tc>
        <w:tc>
          <w:tcPr>
            <w:tcW w:w="0" w:type="auto"/>
          </w:tcPr>
          <w:p w:rsidR="00F006B1" w:rsidRDefault="00F006B1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6250</w:t>
            </w:r>
            <w:r w:rsidR="004F7C46">
              <w:rPr>
                <w:sz w:val="24"/>
                <w:szCs w:val="24"/>
              </w:rPr>
              <w:t>х</w:t>
            </w:r>
            <w:r w:rsidR="004F7C46" w:rsidRPr="00BB3E74">
              <w:rPr>
                <w:sz w:val="24"/>
                <w:szCs w:val="24"/>
              </w:rPr>
              <w:t>2100</w:t>
            </w:r>
            <w:r w:rsidR="004F7C46">
              <w:rPr>
                <w:sz w:val="24"/>
                <w:szCs w:val="24"/>
              </w:rPr>
              <w:t>х</w:t>
            </w:r>
            <w:r w:rsidR="004F7C46" w:rsidRPr="00BB3E74">
              <w:rPr>
                <w:sz w:val="24"/>
                <w:szCs w:val="24"/>
              </w:rPr>
              <w:t>27</w:t>
            </w:r>
            <w:r w:rsidR="004F7C46">
              <w:rPr>
                <w:sz w:val="24"/>
                <w:szCs w:val="24"/>
              </w:rPr>
              <w:t>0</w:t>
            </w:r>
            <w:r w:rsidR="004F7C46" w:rsidRPr="00BB3E7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006B1" w:rsidRDefault="00F006B1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6310</w:t>
            </w:r>
            <w:r w:rsidR="004F7C46">
              <w:rPr>
                <w:sz w:val="24"/>
                <w:szCs w:val="24"/>
              </w:rPr>
              <w:t>х</w:t>
            </w:r>
            <w:r w:rsidR="004F7C46" w:rsidRPr="00BB3E74">
              <w:rPr>
                <w:sz w:val="24"/>
                <w:szCs w:val="24"/>
              </w:rPr>
              <w:t>2150</w:t>
            </w:r>
            <w:r w:rsidR="004F7C46">
              <w:rPr>
                <w:sz w:val="24"/>
                <w:szCs w:val="24"/>
              </w:rPr>
              <w:t>х</w:t>
            </w:r>
            <w:r w:rsidR="004F7C46" w:rsidRPr="00BB3E74">
              <w:rPr>
                <w:sz w:val="24"/>
                <w:szCs w:val="24"/>
              </w:rPr>
              <w:t>2960</w:t>
            </w:r>
          </w:p>
        </w:tc>
      </w:tr>
      <w:tr w:rsidR="00BB3E74" w:rsidRPr="00422995" w:rsidTr="004F7C46">
        <w:trPr>
          <w:trHeight w:hRule="exact" w:val="267"/>
          <w:jc w:val="center"/>
        </w:trPr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Вес оборудования подъемника</w:t>
            </w:r>
          </w:p>
        </w:tc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E74">
              <w:rPr>
                <w:iCs/>
                <w:sz w:val="24"/>
                <w:szCs w:val="24"/>
              </w:rPr>
              <w:t>кг</w:t>
            </w:r>
          </w:p>
        </w:tc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1440</w:t>
            </w:r>
          </w:p>
        </w:tc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1950</w:t>
            </w:r>
          </w:p>
        </w:tc>
      </w:tr>
      <w:tr w:rsidR="00BB3E74" w:rsidRPr="00422995" w:rsidTr="007921A3">
        <w:trPr>
          <w:trHeight w:hRule="exact" w:val="283"/>
          <w:jc w:val="center"/>
        </w:trPr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Полный вес автомобиля с подъемником</w:t>
            </w:r>
          </w:p>
        </w:tc>
        <w:tc>
          <w:tcPr>
            <w:tcW w:w="0" w:type="auto"/>
          </w:tcPr>
          <w:p w:rsidR="00D35C18" w:rsidRPr="00BB3E74" w:rsidRDefault="007921A3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</w:rPr>
              <w:t>кг</w:t>
            </w:r>
          </w:p>
        </w:tc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3250</w:t>
            </w:r>
          </w:p>
        </w:tc>
        <w:tc>
          <w:tcPr>
            <w:tcW w:w="0" w:type="auto"/>
          </w:tcPr>
          <w:p w:rsidR="00D35C18" w:rsidRPr="00BB3E74" w:rsidRDefault="00D35C18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4660</w:t>
            </w:r>
          </w:p>
        </w:tc>
      </w:tr>
      <w:tr w:rsidR="00BB3E74" w:rsidRPr="00422995" w:rsidTr="004F7C46">
        <w:trPr>
          <w:trHeight w:hRule="exact" w:val="576"/>
          <w:jc w:val="center"/>
        </w:trPr>
        <w:tc>
          <w:tcPr>
            <w:tcW w:w="0" w:type="auto"/>
          </w:tcPr>
          <w:p w:rsidR="00BB3E74" w:rsidRPr="00BB3E74" w:rsidRDefault="00BB3E74" w:rsidP="00990239">
            <w:pPr>
              <w:pStyle w:val="20"/>
              <w:shd w:val="clear" w:color="auto" w:fill="auto"/>
              <w:tabs>
                <w:tab w:val="left" w:leader="dot" w:pos="657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Изготовитель</w:t>
            </w:r>
          </w:p>
        </w:tc>
        <w:tc>
          <w:tcPr>
            <w:tcW w:w="0" w:type="auto"/>
            <w:gridSpan w:val="3"/>
          </w:tcPr>
          <w:p w:rsidR="00BB3E74" w:rsidRPr="00BB3E74" w:rsidRDefault="00BB3E74" w:rsidP="0099023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3E74">
              <w:rPr>
                <w:sz w:val="24"/>
                <w:szCs w:val="24"/>
              </w:rPr>
              <w:t>Управление местной промышленности</w:t>
            </w:r>
            <w:r w:rsidRPr="00BB3E74">
              <w:rPr>
                <w:sz w:val="24"/>
                <w:szCs w:val="24"/>
              </w:rPr>
              <w:br/>
              <w:t>г. Москвы</w:t>
            </w:r>
          </w:p>
        </w:tc>
      </w:tr>
    </w:tbl>
    <w:p w:rsidR="00D35C18" w:rsidRDefault="00D35C18" w:rsidP="009902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C18" w:rsidRPr="008B4BD4" w:rsidRDefault="00D35C18" w:rsidP="009902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5C18" w:rsidRPr="008B4BD4" w:rsidSect="00360E31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A1"/>
    <w:rsid w:val="00051B93"/>
    <w:rsid w:val="000E5ABB"/>
    <w:rsid w:val="001A06E0"/>
    <w:rsid w:val="001B238A"/>
    <w:rsid w:val="00207934"/>
    <w:rsid w:val="00360E31"/>
    <w:rsid w:val="003A16A6"/>
    <w:rsid w:val="0040531C"/>
    <w:rsid w:val="00417CA3"/>
    <w:rsid w:val="00456697"/>
    <w:rsid w:val="004A5EBA"/>
    <w:rsid w:val="004F7C46"/>
    <w:rsid w:val="0052150E"/>
    <w:rsid w:val="005569A0"/>
    <w:rsid w:val="005A1E66"/>
    <w:rsid w:val="005F0466"/>
    <w:rsid w:val="00770767"/>
    <w:rsid w:val="007921A3"/>
    <w:rsid w:val="007B27E8"/>
    <w:rsid w:val="007F1C53"/>
    <w:rsid w:val="008A2DA1"/>
    <w:rsid w:val="008B4BD4"/>
    <w:rsid w:val="00990239"/>
    <w:rsid w:val="00A37831"/>
    <w:rsid w:val="00BB3E74"/>
    <w:rsid w:val="00C3280D"/>
    <w:rsid w:val="00D35C18"/>
    <w:rsid w:val="00DB734E"/>
    <w:rsid w:val="00E03287"/>
    <w:rsid w:val="00F006B1"/>
    <w:rsid w:val="00FC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5C18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"/>
    <w:rsid w:val="00D35C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Gulim17pt">
    <w:name w:val="Основной текст (2) + Gulim;17 pt"/>
    <w:basedOn w:val="2"/>
    <w:rsid w:val="00D35C18"/>
    <w:rPr>
      <w:rFonts w:ascii="Gulim" w:eastAsia="Gulim" w:hAnsi="Gulim" w:cs="Gulim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6pt">
    <w:name w:val="Основной текст (2) + 16 pt"/>
    <w:basedOn w:val="2"/>
    <w:rsid w:val="00D35C18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7pt13pt">
    <w:name w:val="Основной текст (2) + 17 pt;Полужирный;Интервал 13 pt"/>
    <w:basedOn w:val="2"/>
    <w:rsid w:val="00D35C18"/>
    <w:rPr>
      <w:rFonts w:ascii="Times New Roman" w:eastAsia="Times New Roman" w:hAnsi="Times New Roman" w:cs="Times New Roman"/>
      <w:b/>
      <w:bCs/>
      <w:color w:val="000000"/>
      <w:spacing w:val="27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PalatinoLinotype16pt">
    <w:name w:val="Основной текст (2) + Palatino Linotype;16 pt;Курсив"/>
    <w:basedOn w:val="2"/>
    <w:rsid w:val="00D35C18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Gulim6pt-1pt">
    <w:name w:val="Основной текст (2) + Gulim;6 pt;Интервал -1 pt"/>
    <w:basedOn w:val="2"/>
    <w:rsid w:val="00D35C18"/>
    <w:rPr>
      <w:rFonts w:ascii="Gulim" w:eastAsia="Gulim" w:hAnsi="Gulim" w:cs="Gulim"/>
      <w:color w:val="000000"/>
      <w:spacing w:val="-2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16pt2pt">
    <w:name w:val="Основной текст (2) + 16 pt;Интервал 2 pt"/>
    <w:basedOn w:val="2"/>
    <w:rsid w:val="00D35C18"/>
    <w:rPr>
      <w:rFonts w:ascii="Times New Roman" w:eastAsia="Times New Roman" w:hAnsi="Times New Roman" w:cs="Times New Roman"/>
      <w:color w:val="000000"/>
      <w:spacing w:val="4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Gulim14pt">
    <w:name w:val="Основной текст (2) + Gulim;14 pt"/>
    <w:basedOn w:val="2"/>
    <w:rsid w:val="00D35C18"/>
    <w:rPr>
      <w:rFonts w:ascii="Gulim" w:eastAsia="Gulim" w:hAnsi="Gulim" w:cs="Gulim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MicrosoftSansSerif65pt">
    <w:name w:val="Основной текст (2) + Microsoft Sans Serif;6;5 pt;Курсив"/>
    <w:basedOn w:val="2"/>
    <w:rsid w:val="00D35C18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5C18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36"/>
      <w:szCs w:val="36"/>
    </w:rPr>
  </w:style>
  <w:style w:type="table" w:styleId="a3">
    <w:name w:val="Table Grid"/>
    <w:basedOn w:val="a1"/>
    <w:uiPriority w:val="59"/>
    <w:rsid w:val="00BB3E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7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5C18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"/>
    <w:rsid w:val="00D35C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Gulim17pt">
    <w:name w:val="Основной текст (2) + Gulim;17 pt"/>
    <w:basedOn w:val="2"/>
    <w:rsid w:val="00D35C18"/>
    <w:rPr>
      <w:rFonts w:ascii="Gulim" w:eastAsia="Gulim" w:hAnsi="Gulim" w:cs="Gulim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6pt">
    <w:name w:val="Основной текст (2) + 16 pt"/>
    <w:basedOn w:val="2"/>
    <w:rsid w:val="00D35C18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7pt13pt">
    <w:name w:val="Основной текст (2) + 17 pt;Полужирный;Интервал 13 pt"/>
    <w:basedOn w:val="2"/>
    <w:rsid w:val="00D35C18"/>
    <w:rPr>
      <w:rFonts w:ascii="Times New Roman" w:eastAsia="Times New Roman" w:hAnsi="Times New Roman" w:cs="Times New Roman"/>
      <w:b/>
      <w:bCs/>
      <w:color w:val="000000"/>
      <w:spacing w:val="27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PalatinoLinotype16pt">
    <w:name w:val="Основной текст (2) + Palatino Linotype;16 pt;Курсив"/>
    <w:basedOn w:val="2"/>
    <w:rsid w:val="00D35C18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Gulim6pt-1pt">
    <w:name w:val="Основной текст (2) + Gulim;6 pt;Интервал -1 pt"/>
    <w:basedOn w:val="2"/>
    <w:rsid w:val="00D35C18"/>
    <w:rPr>
      <w:rFonts w:ascii="Gulim" w:eastAsia="Gulim" w:hAnsi="Gulim" w:cs="Gulim"/>
      <w:color w:val="000000"/>
      <w:spacing w:val="-2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16pt2pt">
    <w:name w:val="Основной текст (2) + 16 pt;Интервал 2 pt"/>
    <w:basedOn w:val="2"/>
    <w:rsid w:val="00D35C18"/>
    <w:rPr>
      <w:rFonts w:ascii="Times New Roman" w:eastAsia="Times New Roman" w:hAnsi="Times New Roman" w:cs="Times New Roman"/>
      <w:color w:val="000000"/>
      <w:spacing w:val="4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Gulim14pt">
    <w:name w:val="Основной текст (2) + Gulim;14 pt"/>
    <w:basedOn w:val="2"/>
    <w:rsid w:val="00D35C18"/>
    <w:rPr>
      <w:rFonts w:ascii="Gulim" w:eastAsia="Gulim" w:hAnsi="Gulim" w:cs="Gulim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MicrosoftSansSerif65pt">
    <w:name w:val="Основной текст (2) + Microsoft Sans Serif;6;5 pt;Курсив"/>
    <w:basedOn w:val="2"/>
    <w:rsid w:val="00D35C18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5C18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36"/>
      <w:szCs w:val="36"/>
    </w:rPr>
  </w:style>
  <w:style w:type="table" w:styleId="a3">
    <w:name w:val="Table Grid"/>
    <w:basedOn w:val="a1"/>
    <w:uiPriority w:val="59"/>
    <w:rsid w:val="00BB3E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7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90264-9462-4EE0-9DA8-907C4863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2021-07-22T10:05:00Z</dcterms:created>
  <dcterms:modified xsi:type="dcterms:W3CDTF">2023-08-05T12:28:00Z</dcterms:modified>
</cp:coreProperties>
</file>