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99" w:rsidRPr="00402525" w:rsidRDefault="00425B99" w:rsidP="00425B9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07-09</w:t>
      </w:r>
      <w:r w:rsidR="002A4D1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73BB">
        <w:rPr>
          <w:rFonts w:ascii="Times New Roman" w:hAnsi="Times New Roman"/>
          <w:b/>
          <w:sz w:val="28"/>
          <w:szCs w:val="28"/>
        </w:rPr>
        <w:t>ЭО-2621В-3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2525">
        <w:rPr>
          <w:rFonts w:ascii="Times New Roman" w:hAnsi="Times New Roman"/>
          <w:b/>
          <w:sz w:val="28"/>
          <w:szCs w:val="28"/>
        </w:rPr>
        <w:t xml:space="preserve">экскаватор с бульдозерным отвалом и </w:t>
      </w:r>
      <w:proofErr w:type="spellStart"/>
      <w:r w:rsidR="009C6535">
        <w:rPr>
          <w:rFonts w:ascii="Times New Roman" w:hAnsi="Times New Roman"/>
          <w:b/>
          <w:sz w:val="28"/>
          <w:szCs w:val="28"/>
        </w:rPr>
        <w:t>г</w:t>
      </w:r>
      <w:r w:rsidR="009C6535" w:rsidRPr="009C6535">
        <w:rPr>
          <w:rFonts w:ascii="Times New Roman" w:hAnsi="Times New Roman"/>
          <w:b/>
          <w:sz w:val="28"/>
          <w:szCs w:val="28"/>
        </w:rPr>
        <w:t>идромолот</w:t>
      </w:r>
      <w:r w:rsidR="009C6535">
        <w:rPr>
          <w:rFonts w:ascii="Times New Roman" w:hAnsi="Times New Roman"/>
          <w:b/>
          <w:sz w:val="28"/>
          <w:szCs w:val="28"/>
        </w:rPr>
        <w:t>ом</w:t>
      </w:r>
      <w:proofErr w:type="spellEnd"/>
      <w:r w:rsidR="009C6535" w:rsidRPr="009C6535">
        <w:rPr>
          <w:rFonts w:ascii="Times New Roman" w:hAnsi="Times New Roman"/>
          <w:b/>
          <w:sz w:val="28"/>
          <w:szCs w:val="28"/>
        </w:rPr>
        <w:t xml:space="preserve"> ГПМ-120</w:t>
      </w:r>
      <w:r w:rsidR="009C65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базе</w:t>
      </w:r>
      <w:r w:rsidRPr="00A03F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трактора </w:t>
      </w:r>
      <w:r w:rsidR="009C6535" w:rsidRPr="008A257B">
        <w:rPr>
          <w:rFonts w:ascii="Times New Roman" w:hAnsi="Times New Roman"/>
          <w:b/>
          <w:sz w:val="28"/>
          <w:szCs w:val="28"/>
        </w:rPr>
        <w:t xml:space="preserve">ЮМЗ-6КЛ/КМ </w:t>
      </w:r>
      <w:r>
        <w:rPr>
          <w:rFonts w:ascii="Times New Roman" w:hAnsi="Times New Roman"/>
          <w:b/>
          <w:sz w:val="28"/>
          <w:szCs w:val="28"/>
        </w:rPr>
        <w:t xml:space="preserve">4х4, </w:t>
      </w:r>
      <w:r w:rsidR="00E6642C">
        <w:rPr>
          <w:rFonts w:ascii="Times New Roman" w:hAnsi="Times New Roman"/>
          <w:b/>
          <w:sz w:val="28"/>
          <w:szCs w:val="28"/>
        </w:rPr>
        <w:t>вес молота 300 кг, энергия удара 12</w:t>
      </w:r>
      <w:r w:rsidR="006B62A3">
        <w:rPr>
          <w:rFonts w:ascii="Times New Roman" w:hAnsi="Times New Roman"/>
          <w:b/>
          <w:sz w:val="28"/>
          <w:szCs w:val="28"/>
        </w:rPr>
        <w:t>2</w:t>
      </w:r>
      <w:r w:rsidR="00E6642C">
        <w:rPr>
          <w:rFonts w:ascii="Times New Roman" w:hAnsi="Times New Roman"/>
          <w:b/>
          <w:sz w:val="28"/>
          <w:szCs w:val="28"/>
        </w:rPr>
        <w:t xml:space="preserve">0 Дж, </w:t>
      </w:r>
      <w:r w:rsidR="003E5C40">
        <w:rPr>
          <w:rFonts w:ascii="Times New Roman" w:hAnsi="Times New Roman"/>
          <w:b/>
          <w:sz w:val="28"/>
          <w:szCs w:val="28"/>
        </w:rPr>
        <w:t>ч</w:t>
      </w:r>
      <w:r w:rsidR="003E5C40" w:rsidRPr="003E5C40">
        <w:rPr>
          <w:rFonts w:ascii="Times New Roman" w:hAnsi="Times New Roman"/>
          <w:b/>
          <w:sz w:val="28"/>
          <w:szCs w:val="28"/>
        </w:rPr>
        <w:t xml:space="preserve">исло ударов в минуту </w:t>
      </w:r>
      <w:r w:rsidR="003E5C40">
        <w:rPr>
          <w:rFonts w:ascii="Times New Roman" w:hAnsi="Times New Roman"/>
          <w:b/>
          <w:sz w:val="28"/>
          <w:szCs w:val="28"/>
        </w:rPr>
        <w:t xml:space="preserve">до 180, </w:t>
      </w:r>
      <w:r w:rsidRPr="00402525">
        <w:rPr>
          <w:rFonts w:ascii="Times New Roman" w:hAnsi="Times New Roman"/>
          <w:b/>
          <w:sz w:val="28"/>
          <w:szCs w:val="28"/>
        </w:rPr>
        <w:t xml:space="preserve">полный вес </w:t>
      </w:r>
      <w:r>
        <w:rPr>
          <w:rFonts w:ascii="Times New Roman" w:hAnsi="Times New Roman"/>
          <w:b/>
          <w:sz w:val="28"/>
          <w:szCs w:val="28"/>
        </w:rPr>
        <w:t xml:space="preserve">до 6.3 </w:t>
      </w:r>
      <w:proofErr w:type="spellStart"/>
      <w:r>
        <w:rPr>
          <w:rFonts w:ascii="Times New Roman" w:hAnsi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402525">
        <w:rPr>
          <w:rFonts w:ascii="Times New Roman" w:hAnsi="Times New Roman"/>
          <w:b/>
          <w:sz w:val="28"/>
          <w:szCs w:val="28"/>
        </w:rPr>
        <w:t xml:space="preserve"> </w:t>
      </w:r>
      <w:r w:rsidRPr="00A03FB4">
        <w:rPr>
          <w:rFonts w:ascii="Times New Roman" w:hAnsi="Times New Roman"/>
          <w:b/>
          <w:sz w:val="28"/>
          <w:szCs w:val="28"/>
        </w:rPr>
        <w:t xml:space="preserve">ММЗ Д-243 81 </w:t>
      </w:r>
      <w:proofErr w:type="spellStart"/>
      <w:r w:rsidRPr="00A03FB4">
        <w:rPr>
          <w:rFonts w:ascii="Times New Roman" w:hAnsi="Times New Roman"/>
          <w:b/>
          <w:sz w:val="28"/>
          <w:szCs w:val="28"/>
        </w:rPr>
        <w:t>лс</w:t>
      </w:r>
      <w:proofErr w:type="spellEnd"/>
      <w:r w:rsidRPr="00A03FB4">
        <w:rPr>
          <w:rFonts w:ascii="Times New Roman" w:hAnsi="Times New Roman"/>
          <w:b/>
          <w:sz w:val="28"/>
          <w:szCs w:val="28"/>
        </w:rPr>
        <w:t>, 34 км/час, несколько заводо</w:t>
      </w:r>
      <w:proofErr w:type="gramStart"/>
      <w:r w:rsidRPr="00A03FB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в СССР</w:t>
      </w:r>
      <w:proofErr w:type="gramEnd"/>
      <w:r>
        <w:rPr>
          <w:rFonts w:ascii="Times New Roman" w:hAnsi="Times New Roman"/>
          <w:b/>
          <w:sz w:val="28"/>
          <w:szCs w:val="28"/>
        </w:rPr>
        <w:t>, с 1988</w:t>
      </w:r>
      <w:r w:rsidRPr="00A03FB4">
        <w:rPr>
          <w:rFonts w:ascii="Times New Roman" w:hAnsi="Times New Roman"/>
          <w:b/>
          <w:sz w:val="28"/>
          <w:szCs w:val="28"/>
        </w:rPr>
        <w:t xml:space="preserve"> г.</w:t>
      </w:r>
    </w:p>
    <w:p w:rsidR="00425B99" w:rsidRDefault="004C4549" w:rsidP="0056764D">
      <w:pPr>
        <w:rPr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C2D95F" wp14:editId="3019ED13">
            <wp:simplePos x="0" y="0"/>
            <wp:positionH relativeFrom="margin">
              <wp:posOffset>571500</wp:posOffset>
            </wp:positionH>
            <wp:positionV relativeFrom="margin">
              <wp:posOffset>885825</wp:posOffset>
            </wp:positionV>
            <wp:extent cx="5285105" cy="3533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25B99" w:rsidRDefault="00425B99" w:rsidP="0056764D">
      <w:pPr>
        <w:rPr>
          <w:i/>
        </w:rPr>
      </w:pPr>
    </w:p>
    <w:p w:rsidR="00425B99" w:rsidRDefault="00425B99" w:rsidP="0056764D">
      <w:pPr>
        <w:rPr>
          <w:i/>
        </w:rPr>
      </w:pPr>
    </w:p>
    <w:p w:rsidR="00425B99" w:rsidRDefault="00425B99" w:rsidP="0056764D">
      <w:pPr>
        <w:rPr>
          <w:i/>
        </w:rPr>
      </w:pPr>
    </w:p>
    <w:p w:rsidR="00A36250" w:rsidRDefault="00A36250" w:rsidP="00ED7A29">
      <w:pPr>
        <w:widowControl/>
        <w:autoSpaceDE/>
        <w:autoSpaceDN/>
        <w:adjustRightInd/>
      </w:pPr>
    </w:p>
    <w:p w:rsidR="00ED7A29" w:rsidRDefault="00ED7A29" w:rsidP="00ED7A29">
      <w:pPr>
        <w:widowControl/>
        <w:autoSpaceDE/>
        <w:autoSpaceDN/>
        <w:adjustRightInd/>
      </w:pPr>
      <w:r>
        <w:t xml:space="preserve"> Экскаватор </w:t>
      </w:r>
      <w:r w:rsidRPr="00C72AA7">
        <w:t>ЭО-2621</w:t>
      </w:r>
      <w:r>
        <w:t>, прозванный</w:t>
      </w:r>
      <w:r w:rsidRPr="00C72AA7">
        <w:t xml:space="preserve"> </w:t>
      </w:r>
      <w:r>
        <w:t>за характерный профиль</w:t>
      </w:r>
      <w:r w:rsidRPr="00C72AA7">
        <w:t xml:space="preserve"> «Петушок», является</w:t>
      </w:r>
      <w:r>
        <w:t xml:space="preserve"> </w:t>
      </w:r>
      <w:r w:rsidRPr="00C72AA7">
        <w:t>самым известным на просторах бывшего СССР землеройным агрегатом.</w:t>
      </w:r>
      <w:r>
        <w:t xml:space="preserve"> </w:t>
      </w:r>
      <w:r w:rsidRPr="00387115">
        <w:t xml:space="preserve">Одноковшовый неполноповоротный экскаватор ЭО-2621 монтируется на тракторах </w:t>
      </w:r>
      <w:r w:rsidRPr="005E13B6">
        <w:t>ЮМЗ</w:t>
      </w:r>
      <w:r>
        <w:t xml:space="preserve"> или </w:t>
      </w:r>
      <w:r w:rsidRPr="005E13B6">
        <w:t>МТЗ</w:t>
      </w:r>
      <w:r>
        <w:t xml:space="preserve">. </w:t>
      </w:r>
      <w:r w:rsidRPr="00387115">
        <w:t>Он оснащен навесным рабочим оборудованием с жесткой подвеской и бульдо</w:t>
      </w:r>
      <w:r w:rsidRPr="00387115">
        <w:softHyphen/>
        <w:t>зерным отвалом, а также имеет сменное рабочее</w:t>
      </w:r>
      <w:r w:rsidRPr="00387115">
        <w:rPr>
          <w:rStyle w:val="FontStyle15"/>
          <w:sz w:val="24"/>
          <w:szCs w:val="24"/>
        </w:rPr>
        <w:t xml:space="preserve"> </w:t>
      </w:r>
      <w:r w:rsidRPr="00387115">
        <w:t>оборудование, к которому относятся: обратная и прямая лопаты, крановая подвес</w:t>
      </w:r>
      <w:r w:rsidRPr="00387115">
        <w:softHyphen/>
        <w:t xml:space="preserve">ка, </w:t>
      </w:r>
      <w:r w:rsidRPr="00F16D5A">
        <w:t xml:space="preserve">погрузочный </w:t>
      </w:r>
      <w:r w:rsidRPr="00387115">
        <w:t>ковш повышенной емкости, вилы, грейфер</w:t>
      </w:r>
      <w:r>
        <w:t xml:space="preserve"> </w:t>
      </w:r>
      <w:r w:rsidRPr="00F16D5A">
        <w:t>вместимостью 0,25 м3 или</w:t>
      </w:r>
      <w:r>
        <w:t xml:space="preserve"> </w:t>
      </w:r>
      <w:r w:rsidRPr="00F16D5A">
        <w:t xml:space="preserve">0,32 м3, </w:t>
      </w:r>
      <w:proofErr w:type="spellStart"/>
      <w:r w:rsidRPr="00387115">
        <w:t>гидромолот</w:t>
      </w:r>
      <w:proofErr w:type="spellEnd"/>
      <w:r>
        <w:t xml:space="preserve"> </w:t>
      </w:r>
      <w:proofErr w:type="gramStart"/>
      <w:r w:rsidRPr="00090E70">
        <w:t xml:space="preserve">( </w:t>
      </w:r>
      <w:proofErr w:type="gramEnd"/>
      <w:r w:rsidRPr="00090E70">
        <w:t>клин, пика или трамбовочная</w:t>
      </w:r>
      <w:r>
        <w:t xml:space="preserve"> </w:t>
      </w:r>
      <w:r w:rsidRPr="00090E70">
        <w:t>плита ),</w:t>
      </w:r>
      <w:r w:rsidRPr="00387115">
        <w:t xml:space="preserve"> вилы грейферные, боковая обратная лопата</w:t>
      </w:r>
      <w:r w:rsidRPr="00E46750">
        <w:t>, узкий ковш, профильный ковш, зуб-рыхлитель, захват, решетчатый</w:t>
      </w:r>
      <w:r>
        <w:t xml:space="preserve"> </w:t>
      </w:r>
      <w:r w:rsidRPr="00E46750">
        <w:t>ковш и некоторые сельскохозяйственные орудия.</w:t>
      </w:r>
    </w:p>
    <w:p w:rsidR="00ED7A29" w:rsidRDefault="00955693" w:rsidP="0056764D">
      <w:r>
        <w:t xml:space="preserve"> В нашем случае имеем </w:t>
      </w:r>
      <w:proofErr w:type="spellStart"/>
      <w:r>
        <w:t>гидромолот</w:t>
      </w:r>
      <w:proofErr w:type="spellEnd"/>
      <w:r>
        <w:t xml:space="preserve"> ГПМ-120.</w:t>
      </w:r>
    </w:p>
    <w:p w:rsidR="000A4DA1" w:rsidRDefault="000A4DA1" w:rsidP="0056764D">
      <w:r>
        <w:t xml:space="preserve"> </w:t>
      </w:r>
      <w:r w:rsidRPr="00C96EAC">
        <w:rPr>
          <w:b/>
        </w:rPr>
        <w:t>Разработчик</w:t>
      </w:r>
      <w:r w:rsidR="00C96EAC" w:rsidRPr="00C96EAC">
        <w:rPr>
          <w:b/>
        </w:rPr>
        <w:t>:</w:t>
      </w:r>
      <w:r w:rsidRPr="00396383">
        <w:t xml:space="preserve"> Красноярски</w:t>
      </w:r>
      <w:r w:rsidR="00C96EAC">
        <w:t>й</w:t>
      </w:r>
      <w:r w:rsidR="009F7782">
        <w:t xml:space="preserve"> филиал </w:t>
      </w:r>
      <w:proofErr w:type="spellStart"/>
      <w:r w:rsidR="009F7782">
        <w:t>ВНИИс</w:t>
      </w:r>
      <w:r w:rsidRPr="00396383">
        <w:t>тройдормаш</w:t>
      </w:r>
      <w:proofErr w:type="spellEnd"/>
      <w:r>
        <w:t xml:space="preserve"> </w:t>
      </w:r>
    </w:p>
    <w:p w:rsidR="009E5F7F" w:rsidRDefault="009227F3" w:rsidP="008A0683">
      <w:r>
        <w:t xml:space="preserve"> </w:t>
      </w:r>
      <w:r w:rsidR="000A4DA1">
        <w:t>Н</w:t>
      </w:r>
      <w:r w:rsidR="000A4DA1" w:rsidRPr="00396383">
        <w:t>азвание ГПМ-120</w:t>
      </w:r>
      <w:r w:rsidR="000A4DA1">
        <w:t xml:space="preserve"> означает</w:t>
      </w:r>
      <w:r w:rsidR="000A4DA1" w:rsidRPr="00396383">
        <w:t xml:space="preserve"> гидропневматический молот с энергией удара 1200 Дж.</w:t>
      </w:r>
      <w:r w:rsidR="00C96EAC">
        <w:t xml:space="preserve"> </w:t>
      </w:r>
      <w:r w:rsidR="00D90654">
        <w:t xml:space="preserve">Выпуск </w:t>
      </w:r>
      <w:r w:rsidR="00790E76" w:rsidRPr="00396383">
        <w:t xml:space="preserve">был </w:t>
      </w:r>
      <w:r w:rsidR="00D90654" w:rsidRPr="00396383">
        <w:t xml:space="preserve">освоен </w:t>
      </w:r>
      <w:r w:rsidR="00790E76">
        <w:t>в середине</w:t>
      </w:r>
      <w:r w:rsidR="00D90654">
        <w:t xml:space="preserve"> 1970-х годов</w:t>
      </w:r>
      <w:r w:rsidR="00C96EAC" w:rsidRPr="00396383">
        <w:t xml:space="preserve"> на </w:t>
      </w:r>
      <w:r w:rsidR="008A0683">
        <w:t xml:space="preserve"> Саранском экскаваторном заводе и на </w:t>
      </w:r>
      <w:r w:rsidR="00C96EAC" w:rsidRPr="00396383">
        <w:t xml:space="preserve">"Красном экскаваторе" </w:t>
      </w:r>
      <w:r w:rsidR="008A0683">
        <w:t xml:space="preserve">в Киеве </w:t>
      </w:r>
      <w:r w:rsidR="00C96EAC" w:rsidRPr="00396383">
        <w:t xml:space="preserve">для </w:t>
      </w:r>
      <w:r w:rsidR="00D90654">
        <w:t>навески на экскаватор ЭО-2621. В 1978 г., п</w:t>
      </w:r>
      <w:r w:rsidR="00C96EAC" w:rsidRPr="00396383">
        <w:t xml:space="preserve">осле того, как производство ЭО-2621 было передано </w:t>
      </w:r>
      <w:r w:rsidR="00D90654">
        <w:t xml:space="preserve">из Киева </w:t>
      </w:r>
      <w:r w:rsidR="00C96EAC" w:rsidRPr="00396383">
        <w:t xml:space="preserve">на </w:t>
      </w:r>
      <w:proofErr w:type="spellStart"/>
      <w:r w:rsidR="00C96EAC" w:rsidRPr="00396383">
        <w:t>бородянский</w:t>
      </w:r>
      <w:proofErr w:type="spellEnd"/>
      <w:r w:rsidR="00C96EAC" w:rsidRPr="00396383">
        <w:t xml:space="preserve"> филиал, </w:t>
      </w:r>
      <w:proofErr w:type="spellStart"/>
      <w:r w:rsidR="00C96EAC" w:rsidRPr="00396383">
        <w:t>гидромолот</w:t>
      </w:r>
      <w:proofErr w:type="spellEnd"/>
      <w:r w:rsidR="00C96EAC" w:rsidRPr="00396383">
        <w:t xml:space="preserve"> ГПМ-120 стали изготавливать там.</w:t>
      </w:r>
      <w:r w:rsidR="00D54D78">
        <w:t xml:space="preserve"> </w:t>
      </w:r>
      <w:proofErr w:type="spellStart"/>
      <w:r w:rsidR="00CE126A">
        <w:t>Гидромолот</w:t>
      </w:r>
      <w:proofErr w:type="spellEnd"/>
      <w:r w:rsidR="00CE126A">
        <w:t xml:space="preserve"> выпускался и на </w:t>
      </w:r>
      <w:proofErr w:type="spellStart"/>
      <w:r w:rsidR="00CE126A">
        <w:t>эксковаторном</w:t>
      </w:r>
      <w:proofErr w:type="spellEnd"/>
      <w:r w:rsidR="00CE126A">
        <w:t xml:space="preserve"> заводе в Златоусте. </w:t>
      </w:r>
      <w:r w:rsidR="00D54D78">
        <w:t>Б</w:t>
      </w:r>
      <w:r w:rsidR="00D54D78" w:rsidRPr="00396383">
        <w:t>лагодаря низко</w:t>
      </w:r>
      <w:r w:rsidR="00D54D78">
        <w:t>й себестоимости и безотказности получил широкое распространение</w:t>
      </w:r>
      <w:r w:rsidR="00D54D78" w:rsidRPr="00396383">
        <w:t xml:space="preserve"> и польз</w:t>
      </w:r>
      <w:r w:rsidR="00D54D78">
        <w:t>овался большим спросом</w:t>
      </w:r>
      <w:r w:rsidR="00D54D78" w:rsidRPr="00396383">
        <w:t>.</w:t>
      </w:r>
    </w:p>
    <w:p w:rsidR="00B7172B" w:rsidRDefault="00B7172B" w:rsidP="008A0683">
      <w:r>
        <w:t xml:space="preserve"> Устройство можно навесить на экскаваторную стрелу вместо ковша с рукоятью, подключив к гидравлике. Второй вариант</w:t>
      </w:r>
      <w:r w:rsidR="00984EFC">
        <w:t>, при наличии</w:t>
      </w:r>
      <w:r>
        <w:t xml:space="preserve"> </w:t>
      </w:r>
      <w:r w:rsidR="00984EFC">
        <w:t xml:space="preserve">свободной секции гидравлического распределителя,  </w:t>
      </w:r>
      <w:r>
        <w:t xml:space="preserve">– замена </w:t>
      </w:r>
      <w:proofErr w:type="spellStart"/>
      <w:r>
        <w:t>гидромолотом</w:t>
      </w:r>
      <w:proofErr w:type="spellEnd"/>
      <w:r>
        <w:t xml:space="preserve"> ковша и закрепление его на рукояти. </w:t>
      </w:r>
      <w:r w:rsidR="00984EFC">
        <w:t xml:space="preserve"> </w:t>
      </w:r>
    </w:p>
    <w:p w:rsidR="00360442" w:rsidRDefault="00360442" w:rsidP="008A0683">
      <w:r>
        <w:t xml:space="preserve"> Используют агрегат для разрушения различных конструкций из железобетона, обработки и дробления скальных горных пород</w:t>
      </w:r>
      <w:r w:rsidR="00086A8D" w:rsidRPr="00086A8D">
        <w:t xml:space="preserve"> </w:t>
      </w:r>
      <w:r w:rsidR="00086A8D">
        <w:t>или валунов</w:t>
      </w:r>
      <w:r>
        <w:t>, разрыхления мерзлой земли, вскрытия дорожного асфальтового полотна и бетонных поверхностей</w:t>
      </w:r>
      <w:r w:rsidR="00B7172B">
        <w:t>, а также</w:t>
      </w:r>
      <w:r w:rsidR="00B7172B" w:rsidRPr="00B7172B">
        <w:t xml:space="preserve"> </w:t>
      </w:r>
      <w:r w:rsidR="00B7172B">
        <w:t>уплотнения слабой почвы</w:t>
      </w:r>
      <w:r w:rsidR="00B7172B" w:rsidRPr="00086A8D">
        <w:t xml:space="preserve"> </w:t>
      </w:r>
      <w:r w:rsidR="00B7172B" w:rsidRPr="00E6642C">
        <w:t>трамбовочной плитой</w:t>
      </w:r>
      <w:r w:rsidR="00086A8D">
        <w:t xml:space="preserve">. </w:t>
      </w:r>
    </w:p>
    <w:p w:rsidR="009F7782" w:rsidRDefault="009F7782" w:rsidP="009F7782">
      <w:r w:rsidRPr="009F7782">
        <w:rPr>
          <w:b/>
        </w:rPr>
        <w:t>Сменное оборудование</w:t>
      </w:r>
      <w:r>
        <w:t xml:space="preserve"> </w:t>
      </w:r>
    </w:p>
    <w:p w:rsidR="00046DC4" w:rsidRDefault="009F7782" w:rsidP="009F7782">
      <w:r>
        <w:t xml:space="preserve"> Клин </w:t>
      </w:r>
      <w:r w:rsidR="00ED6747">
        <w:t>(лопатка)</w:t>
      </w:r>
      <w:r>
        <w:t>-</w:t>
      </w:r>
      <w:r w:rsidR="00046DC4">
        <w:t xml:space="preserve"> </w:t>
      </w:r>
      <w:r>
        <w:t>для разрыхления замерзшего грунт</w:t>
      </w:r>
      <w:r w:rsidR="00046DC4">
        <w:t>а</w:t>
      </w:r>
      <w:r>
        <w:t xml:space="preserve"> или разруш</w:t>
      </w:r>
      <w:r w:rsidR="00046DC4">
        <w:t>ения</w:t>
      </w:r>
      <w:r>
        <w:t xml:space="preserve"> </w:t>
      </w:r>
      <w:r w:rsidR="00046DC4">
        <w:t>асфальтового</w:t>
      </w:r>
      <w:r>
        <w:t xml:space="preserve"> покрыти</w:t>
      </w:r>
      <w:r w:rsidR="00046DC4">
        <w:t>я.</w:t>
      </w:r>
    </w:p>
    <w:p w:rsidR="00ED6747" w:rsidRDefault="00046DC4" w:rsidP="009F7782">
      <w:r>
        <w:t xml:space="preserve"> </w:t>
      </w:r>
      <w:r w:rsidR="009F7782">
        <w:t>Пик</w:t>
      </w:r>
      <w:r>
        <w:t xml:space="preserve">а - для </w:t>
      </w:r>
      <w:r w:rsidR="009F7782">
        <w:t>вскрыт</w:t>
      </w:r>
      <w:r>
        <w:t>ия</w:t>
      </w:r>
      <w:r w:rsidR="009F7782">
        <w:t xml:space="preserve"> бетонн</w:t>
      </w:r>
      <w:r>
        <w:t>ой</w:t>
      </w:r>
      <w:r w:rsidR="009F7782">
        <w:t xml:space="preserve"> поверхност</w:t>
      </w:r>
      <w:r>
        <w:t>и</w:t>
      </w:r>
      <w:r w:rsidR="009F7782">
        <w:t xml:space="preserve"> или раз</w:t>
      </w:r>
      <w:r>
        <w:t>рушения</w:t>
      </w:r>
      <w:r w:rsidR="009F7782">
        <w:t xml:space="preserve"> негабаритные </w:t>
      </w:r>
      <w:r w:rsidR="00ED6747">
        <w:t>предметов</w:t>
      </w:r>
      <w:r w:rsidR="009F7782">
        <w:t xml:space="preserve">. </w:t>
      </w:r>
    </w:p>
    <w:p w:rsidR="009F7782" w:rsidRDefault="00ED6747" w:rsidP="009F7782">
      <w:r>
        <w:t xml:space="preserve"> Трамбовочная плита - для уплотнения</w:t>
      </w:r>
      <w:r w:rsidR="009F7782">
        <w:t xml:space="preserve"> мягк</w:t>
      </w:r>
      <w:r>
        <w:t>ого или насыпного</w:t>
      </w:r>
      <w:r w:rsidR="009F7782">
        <w:t xml:space="preserve"> грунт</w:t>
      </w:r>
      <w:r>
        <w:t>а</w:t>
      </w:r>
      <w:r w:rsidR="009F7782">
        <w:t xml:space="preserve">. </w:t>
      </w:r>
    </w:p>
    <w:p w:rsidR="00CF4BD4" w:rsidRDefault="00CF4BD4" w:rsidP="00CF4BD4">
      <w:r w:rsidRPr="00CF4BD4">
        <w:rPr>
          <w:b/>
        </w:rPr>
        <w:t>Принцип работы</w:t>
      </w:r>
      <w:r>
        <w:t xml:space="preserve"> </w:t>
      </w:r>
    </w:p>
    <w:p w:rsidR="00ED7A29" w:rsidRDefault="00CF4BD4" w:rsidP="00ED7A29">
      <w:r>
        <w:lastRenderedPageBreak/>
        <w:t xml:space="preserve"> Конструкция </w:t>
      </w:r>
      <w:proofErr w:type="spellStart"/>
      <w:r>
        <w:t>гидромолота</w:t>
      </w:r>
      <w:proofErr w:type="spellEnd"/>
      <w:r>
        <w:t xml:space="preserve"> отличается простотой и оригинальностью. Его боек составляет одно целое с газовым аккумуляторным поршнем, только диаметр штока бойка имеет меньший размер. На эту поверхность, образующуюся из-за разности диаметров, действует напорное давление. Результат – боек идет вверх и сжимает газ в пневматическом аккумуляторе.</w:t>
      </w:r>
      <w:r w:rsidR="00ED7A29">
        <w:t xml:space="preserve"> </w:t>
      </w:r>
    </w:p>
    <w:p w:rsidR="006B62A3" w:rsidRDefault="00ED7A29" w:rsidP="00CF4BD4">
      <w:r>
        <w:t xml:space="preserve"> </w:t>
      </w:r>
      <w:r w:rsidR="00CF4BD4">
        <w:t xml:space="preserve">Рабочая жидкость перетекает свободно в сливную магистраль из </w:t>
      </w:r>
      <w:proofErr w:type="gramStart"/>
      <w:r w:rsidR="00CF4BD4">
        <w:t>напорной</w:t>
      </w:r>
      <w:proofErr w:type="gramEnd"/>
      <w:r w:rsidR="00CF4BD4">
        <w:t>. Клапан, на который давит газ из аккумулятора, упирается в торец втулки, а головка бойка находится в демпферном углублении втулки. Когда инструмент начинает двигаться к объекту работ, управляясь гидроцилиндрами стрелы и рукоятки, клапан перекрывается, разграничив напорную и сливную магистраль. Напорное давление воздействует на боек, передвигая его и клапан вверх. Каналы бойка совмещаются с отверстиями втулки, а напорная магистраль совмещается с полостью, находящейся под клапаном. Рабочая жидкость давит на клапан и торец бойка – они разъединяются.</w:t>
      </w:r>
    </w:p>
    <w:p w:rsidR="00CF4BD4" w:rsidRDefault="00CF4BD4" w:rsidP="00CF4BD4">
      <w:r>
        <w:t xml:space="preserve"> На боек теперь действует его вес и давление рабочей жидкости (оно держится за счет газового аккумулятора). В итоге боек идет вниз и с силой ударяет по инструменту. Совершив удар, он вновь закрывается клапаном. Всё повторяется снова. Отметим, что непосредственно перед ударом бойка давление в гидравлической системе значительно падает. Пожалуй, большие перепады давления – единственный минус. </w:t>
      </w:r>
    </w:p>
    <w:p w:rsidR="00CF5BC5" w:rsidRPr="00CF5BC5" w:rsidRDefault="00CF4BD4" w:rsidP="006B62A3">
      <w:pPr>
        <w:jc w:val="center"/>
      </w:pPr>
      <w:r w:rsidRPr="00AA6CDE">
        <w:rPr>
          <w:b/>
        </w:rPr>
        <w:t>Технические характеристики</w:t>
      </w:r>
    </w:p>
    <w:tbl>
      <w:tblPr>
        <w:tblStyle w:val="a9"/>
        <w:tblW w:w="0" w:type="auto"/>
        <w:jc w:val="center"/>
        <w:tblLook w:val="0000" w:firstRow="0" w:lastRow="0" w:firstColumn="0" w:lastColumn="0" w:noHBand="0" w:noVBand="0"/>
      </w:tblPr>
      <w:tblGrid>
        <w:gridCol w:w="3871"/>
        <w:gridCol w:w="1491"/>
        <w:gridCol w:w="1292"/>
      </w:tblGrid>
      <w:tr w:rsidR="00CF5BC5" w:rsidRPr="00CF5BC5" w:rsidTr="00AE6440">
        <w:trPr>
          <w:trHeight w:val="279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AE6440">
              <w:rPr>
                <w:rFonts w:ascii="Times New Roman" w:hAnsi="Times New Roman" w:cs="Times New Roman"/>
                <w:color w:val="605E67"/>
              </w:rPr>
              <w:t>Характеристики</w:t>
            </w:r>
          </w:p>
        </w:tc>
        <w:tc>
          <w:tcPr>
            <w:tcW w:w="0" w:type="auto"/>
          </w:tcPr>
          <w:p w:rsidR="00CF5BC5" w:rsidRPr="00CF5BC5" w:rsidRDefault="00AE6440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>
              <w:rPr>
                <w:rFonts w:ascii="Times New Roman" w:hAnsi="Times New Roman" w:cs="Times New Roman"/>
                <w:color w:val="605E67"/>
              </w:rPr>
              <w:t>П</w:t>
            </w:r>
            <w:r w:rsidR="00CF5BC5" w:rsidRPr="00AE6440">
              <w:rPr>
                <w:rFonts w:ascii="Times New Roman" w:hAnsi="Times New Roman" w:cs="Times New Roman"/>
                <w:color w:val="605E67"/>
              </w:rPr>
              <w:t>оказатели</w:t>
            </w:r>
          </w:p>
        </w:tc>
        <w:tc>
          <w:tcPr>
            <w:tcW w:w="1292" w:type="dxa"/>
          </w:tcPr>
          <w:p w:rsidR="00CF5BC5" w:rsidRPr="00AE6440" w:rsidRDefault="00AE6440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AE6440">
              <w:rPr>
                <w:rFonts w:ascii="Times New Roman" w:hAnsi="Times New Roman" w:cs="Times New Roman"/>
                <w:color w:val="605E67"/>
              </w:rPr>
              <w:t>Ед.</w:t>
            </w:r>
            <w:r>
              <w:rPr>
                <w:rFonts w:ascii="Times New Roman" w:hAnsi="Times New Roman" w:cs="Times New Roman"/>
                <w:color w:val="605E67"/>
              </w:rPr>
              <w:t xml:space="preserve"> </w:t>
            </w:r>
            <w:r w:rsidRPr="00AE6440">
              <w:rPr>
                <w:rFonts w:ascii="Times New Roman" w:hAnsi="Times New Roman" w:cs="Times New Roman"/>
                <w:color w:val="605E67"/>
              </w:rPr>
              <w:t>измерения</w:t>
            </w:r>
          </w:p>
        </w:tc>
      </w:tr>
      <w:tr w:rsidR="00AE6440" w:rsidRPr="00CF5BC5" w:rsidTr="00AE6440">
        <w:trPr>
          <w:trHeight w:val="550"/>
          <w:jc w:val="center"/>
        </w:trPr>
        <w:tc>
          <w:tcPr>
            <w:tcW w:w="0" w:type="auto"/>
          </w:tcPr>
          <w:p w:rsidR="00AE6440" w:rsidRPr="00CF5BC5" w:rsidRDefault="00AE6440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Базовый агрегат</w:t>
            </w:r>
          </w:p>
        </w:tc>
        <w:tc>
          <w:tcPr>
            <w:tcW w:w="2783" w:type="dxa"/>
            <w:gridSpan w:val="2"/>
          </w:tcPr>
          <w:p w:rsidR="00AE6440" w:rsidRPr="00CF5BC5" w:rsidRDefault="00AE6440" w:rsidP="00AE6440">
            <w:pPr>
              <w:pStyle w:val="a7"/>
              <w:kinsoku w:val="0"/>
              <w:overflowPunct w:val="0"/>
              <w:rPr>
                <w:rFonts w:ascii="Times New Roman" w:hAnsi="Times New Roman"/>
                <w:color w:val="605E67"/>
                <w:w w:val="105"/>
              </w:rPr>
            </w:pPr>
            <w:r w:rsidRPr="00CF5BC5">
              <w:rPr>
                <w:rFonts w:ascii="Times New Roman" w:hAnsi="Times New Roman"/>
                <w:color w:val="605E67"/>
                <w:sz w:val="24"/>
                <w:szCs w:val="24"/>
              </w:rPr>
              <w:t>ЭО-2621 и его модификации</w:t>
            </w:r>
          </w:p>
        </w:tc>
      </w:tr>
      <w:tr w:rsidR="00CF5BC5" w:rsidRPr="00CF5BC5" w:rsidTr="00AE6440">
        <w:trPr>
          <w:trHeight w:val="279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proofErr w:type="gramStart"/>
            <w:r w:rsidRPr="00CF5BC5">
              <w:rPr>
                <w:rFonts w:ascii="Times New Roman" w:hAnsi="Times New Roman" w:cs="Times New Roman"/>
                <w:color w:val="605E67"/>
              </w:rPr>
              <w:t>Требуемые</w:t>
            </w:r>
            <w:proofErr w:type="gramEnd"/>
            <w:r w:rsidRPr="00CF5BC5">
              <w:rPr>
                <w:rFonts w:ascii="Times New Roman" w:hAnsi="Times New Roman" w:cs="Times New Roman"/>
                <w:color w:val="605E67"/>
              </w:rPr>
              <w:t xml:space="preserve"> вес экскаватора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5-12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  <w:w w:val="105"/>
              </w:rPr>
            </w:pPr>
            <w:r w:rsidRPr="00CF5BC5">
              <w:rPr>
                <w:rFonts w:ascii="Times New Roman" w:hAnsi="Times New Roman" w:cs="Times New Roman"/>
                <w:color w:val="605E67"/>
                <w:w w:val="105"/>
              </w:rPr>
              <w:t>т</w:t>
            </w:r>
          </w:p>
        </w:tc>
      </w:tr>
      <w:tr w:rsidR="00CF5BC5" w:rsidRPr="00CF5BC5" w:rsidTr="00AE6440">
        <w:trPr>
          <w:trHeight w:val="263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Глубина рыхления (один подход)</w:t>
            </w:r>
          </w:p>
        </w:tc>
        <w:tc>
          <w:tcPr>
            <w:tcW w:w="0" w:type="auto"/>
          </w:tcPr>
          <w:p w:rsidR="00CF5BC5" w:rsidRPr="00CF5BC5" w:rsidRDefault="006B62A3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  <w:w w:val="105"/>
              </w:rPr>
            </w:pPr>
            <w:r>
              <w:rPr>
                <w:rFonts w:ascii="Times New Roman" w:hAnsi="Times New Roman" w:cs="Times New Roman"/>
                <w:color w:val="605E67"/>
                <w:w w:val="105"/>
              </w:rPr>
              <w:t>до</w:t>
            </w:r>
            <w:r w:rsidR="00CF5BC5" w:rsidRPr="00CF5BC5">
              <w:rPr>
                <w:rFonts w:ascii="Times New Roman" w:hAnsi="Times New Roman" w:cs="Times New Roman"/>
                <w:color w:val="605E67"/>
                <w:w w:val="105"/>
              </w:rPr>
              <w:t xml:space="preserve"> 0,4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605E67"/>
                <w:w w:val="80"/>
              </w:rPr>
            </w:pPr>
            <w:r w:rsidRPr="00CF5BC5">
              <w:rPr>
                <w:rFonts w:ascii="Times New Roman" w:hAnsi="Times New Roman" w:cs="Times New Roman"/>
                <w:b/>
                <w:bCs/>
                <w:color w:val="605E67"/>
                <w:w w:val="80"/>
              </w:rPr>
              <w:t>м</w:t>
            </w:r>
          </w:p>
        </w:tc>
      </w:tr>
      <w:tr w:rsidR="00CF5BC5" w:rsidRPr="00CF5BC5" w:rsidTr="00AE6440">
        <w:trPr>
          <w:trHeight w:val="268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Производительность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не менее 4-5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м3/ч</w:t>
            </w:r>
          </w:p>
        </w:tc>
      </w:tr>
      <w:tr w:rsidR="00CF5BC5" w:rsidRPr="00CF5BC5" w:rsidTr="00AE6440">
        <w:trPr>
          <w:trHeight w:val="257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Расход масла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50-120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proofErr w:type="gramStart"/>
            <w:r w:rsidRPr="00CF5BC5">
              <w:rPr>
                <w:rFonts w:ascii="Times New Roman" w:hAnsi="Times New Roman" w:cs="Times New Roman"/>
                <w:color w:val="605E67"/>
              </w:rPr>
              <w:t>л</w:t>
            </w:r>
            <w:proofErr w:type="gramEnd"/>
            <w:r w:rsidRPr="00CF5BC5">
              <w:rPr>
                <w:rFonts w:ascii="Times New Roman" w:hAnsi="Times New Roman" w:cs="Times New Roman"/>
                <w:color w:val="605E67"/>
              </w:rPr>
              <w:t>/мин</w:t>
            </w:r>
          </w:p>
        </w:tc>
      </w:tr>
      <w:tr w:rsidR="00CF5BC5" w:rsidRPr="00CF5BC5" w:rsidTr="00AE6440">
        <w:trPr>
          <w:trHeight w:val="262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Давление (рабочее)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140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proofErr w:type="spellStart"/>
            <w:proofErr w:type="gramStart"/>
            <w:r w:rsidRPr="00CF5BC5">
              <w:rPr>
                <w:rFonts w:ascii="Times New Roman" w:hAnsi="Times New Roman" w:cs="Times New Roman"/>
                <w:color w:val="605E67"/>
              </w:rPr>
              <w:t>атм</w:t>
            </w:r>
            <w:proofErr w:type="spellEnd"/>
            <w:proofErr w:type="gramEnd"/>
          </w:p>
        </w:tc>
      </w:tr>
      <w:tr w:rsidR="00CF5BC5" w:rsidRPr="00CF5BC5" w:rsidTr="00AE6440">
        <w:trPr>
          <w:trHeight w:val="251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Энергия одного удара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1,22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  <w:w w:val="110"/>
              </w:rPr>
            </w:pPr>
            <w:r w:rsidRPr="00CF5BC5">
              <w:rPr>
                <w:rFonts w:ascii="Times New Roman" w:hAnsi="Times New Roman" w:cs="Times New Roman"/>
                <w:color w:val="605E67"/>
                <w:w w:val="110"/>
              </w:rPr>
              <w:t>кДж</w:t>
            </w:r>
          </w:p>
        </w:tc>
      </w:tr>
      <w:tr w:rsidR="00CF5BC5" w:rsidRPr="00CF5BC5" w:rsidTr="00AE6440">
        <w:trPr>
          <w:trHeight w:val="256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Число ударов в минуту (макс.)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180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BC5" w:rsidRPr="00CF5BC5" w:rsidTr="00AE6440">
        <w:trPr>
          <w:trHeight w:val="259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 xml:space="preserve">Вес </w:t>
            </w:r>
            <w:proofErr w:type="spellStart"/>
            <w:r w:rsidRPr="00CF5BC5">
              <w:rPr>
                <w:rFonts w:ascii="Times New Roman" w:hAnsi="Times New Roman" w:cs="Times New Roman"/>
                <w:color w:val="605E67"/>
              </w:rPr>
              <w:t>гидромолота</w:t>
            </w:r>
            <w:proofErr w:type="spellEnd"/>
            <w:r w:rsidRPr="00CF5BC5">
              <w:rPr>
                <w:rFonts w:ascii="Times New Roman" w:hAnsi="Times New Roman" w:cs="Times New Roman"/>
                <w:color w:val="605E67"/>
              </w:rPr>
              <w:t xml:space="preserve"> (без инструмента)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276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кг</w:t>
            </w:r>
          </w:p>
        </w:tc>
      </w:tr>
      <w:tr w:rsidR="00CF5BC5" w:rsidRPr="00CF5BC5" w:rsidTr="00AE6440">
        <w:trPr>
          <w:trHeight w:val="249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Вес бойка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30,8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  <w:w w:val="110"/>
              </w:rPr>
            </w:pPr>
            <w:r w:rsidRPr="00CF5BC5">
              <w:rPr>
                <w:rFonts w:ascii="Times New Roman" w:hAnsi="Times New Roman" w:cs="Times New Roman"/>
                <w:color w:val="605E67"/>
                <w:w w:val="110"/>
              </w:rPr>
              <w:t>кг</w:t>
            </w:r>
          </w:p>
        </w:tc>
      </w:tr>
      <w:tr w:rsidR="00CF5BC5" w:rsidRPr="00CF5BC5" w:rsidTr="00AE6440">
        <w:trPr>
          <w:trHeight w:val="253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Вес клинка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21,81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  <w:w w:val="110"/>
              </w:rPr>
            </w:pPr>
            <w:r w:rsidRPr="00CF5BC5">
              <w:rPr>
                <w:rFonts w:ascii="Times New Roman" w:hAnsi="Times New Roman" w:cs="Times New Roman"/>
                <w:color w:val="605E67"/>
                <w:w w:val="110"/>
              </w:rPr>
              <w:t>кг</w:t>
            </w:r>
          </w:p>
        </w:tc>
      </w:tr>
      <w:tr w:rsidR="00CF5BC5" w:rsidRPr="00CF5BC5" w:rsidTr="00AE6440">
        <w:trPr>
          <w:trHeight w:val="243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Вес пики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  <w:w w:val="110"/>
              </w:rPr>
            </w:pPr>
            <w:r w:rsidRPr="00CF5BC5">
              <w:rPr>
                <w:rFonts w:ascii="Times New Roman" w:hAnsi="Times New Roman" w:cs="Times New Roman"/>
                <w:color w:val="605E67"/>
                <w:w w:val="110"/>
              </w:rPr>
              <w:t>21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  <w:w w:val="110"/>
              </w:rPr>
            </w:pPr>
            <w:r w:rsidRPr="00CF5BC5">
              <w:rPr>
                <w:rFonts w:ascii="Times New Roman" w:hAnsi="Times New Roman" w:cs="Times New Roman"/>
                <w:color w:val="605E67"/>
                <w:w w:val="110"/>
              </w:rPr>
              <w:t>кг</w:t>
            </w:r>
          </w:p>
        </w:tc>
      </w:tr>
      <w:tr w:rsidR="00CF5BC5" w:rsidRPr="00CF5BC5" w:rsidTr="00AE6440">
        <w:trPr>
          <w:trHeight w:val="247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Вес трамбующей плиты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  <w:w w:val="110"/>
              </w:rPr>
            </w:pPr>
            <w:r w:rsidRPr="00CF5BC5">
              <w:rPr>
                <w:rFonts w:ascii="Times New Roman" w:hAnsi="Times New Roman" w:cs="Times New Roman"/>
                <w:color w:val="605E67"/>
                <w:w w:val="110"/>
              </w:rPr>
              <w:t>51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  <w:w w:val="110"/>
              </w:rPr>
            </w:pPr>
            <w:r w:rsidRPr="00CF5BC5">
              <w:rPr>
                <w:rFonts w:ascii="Times New Roman" w:hAnsi="Times New Roman" w:cs="Times New Roman"/>
                <w:color w:val="605E67"/>
                <w:w w:val="110"/>
              </w:rPr>
              <w:t>кг</w:t>
            </w:r>
          </w:p>
        </w:tc>
      </w:tr>
      <w:tr w:rsidR="00CF5BC5" w:rsidRPr="00CF5BC5" w:rsidTr="00AE6440">
        <w:trPr>
          <w:trHeight w:val="252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Длина без инструмента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1,55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605E67"/>
                <w:w w:val="84"/>
              </w:rPr>
            </w:pPr>
            <w:r w:rsidRPr="00CF5BC5">
              <w:rPr>
                <w:rFonts w:ascii="Times New Roman" w:hAnsi="Times New Roman" w:cs="Times New Roman"/>
                <w:b/>
                <w:bCs/>
                <w:color w:val="605E67"/>
                <w:w w:val="84"/>
              </w:rPr>
              <w:t>м</w:t>
            </w:r>
          </w:p>
        </w:tc>
      </w:tr>
      <w:tr w:rsidR="00CF5BC5" w:rsidRPr="00CF5BC5" w:rsidTr="00AE6440">
        <w:trPr>
          <w:trHeight w:val="227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Ширина без инструмента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0,405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605E67"/>
                <w:w w:val="84"/>
              </w:rPr>
            </w:pPr>
            <w:r w:rsidRPr="00CF5BC5">
              <w:rPr>
                <w:rFonts w:ascii="Times New Roman" w:hAnsi="Times New Roman" w:cs="Times New Roman"/>
                <w:b/>
                <w:bCs/>
                <w:color w:val="605E67"/>
                <w:w w:val="84"/>
              </w:rPr>
              <w:t>м</w:t>
            </w:r>
          </w:p>
        </w:tc>
      </w:tr>
      <w:tr w:rsidR="00CF5BC5" w:rsidRPr="00CF5BC5" w:rsidTr="00AE6440">
        <w:trPr>
          <w:trHeight w:val="231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Высота без инструмента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0,26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605E67"/>
                <w:w w:val="84"/>
              </w:rPr>
            </w:pPr>
            <w:r w:rsidRPr="00CF5BC5">
              <w:rPr>
                <w:rFonts w:ascii="Times New Roman" w:hAnsi="Times New Roman" w:cs="Times New Roman"/>
                <w:b/>
                <w:bCs/>
                <w:color w:val="605E67"/>
                <w:w w:val="84"/>
              </w:rPr>
              <w:t>м</w:t>
            </w:r>
          </w:p>
        </w:tc>
      </w:tr>
      <w:tr w:rsidR="00CF5BC5" w:rsidRPr="00CF5BC5" w:rsidTr="00AE6440">
        <w:trPr>
          <w:trHeight w:val="221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Длина рабочего инструмента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0,39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605E67"/>
                <w:w w:val="84"/>
              </w:rPr>
            </w:pPr>
            <w:r w:rsidRPr="00CF5BC5">
              <w:rPr>
                <w:rFonts w:ascii="Times New Roman" w:hAnsi="Times New Roman" w:cs="Times New Roman"/>
                <w:b/>
                <w:bCs/>
                <w:color w:val="605E67"/>
                <w:w w:val="84"/>
              </w:rPr>
              <w:t>м</w:t>
            </w:r>
          </w:p>
        </w:tc>
      </w:tr>
      <w:tr w:rsidR="00CF5BC5" w:rsidRPr="00CF5BC5" w:rsidTr="00AE6440">
        <w:trPr>
          <w:trHeight w:val="281"/>
          <w:jc w:val="center"/>
        </w:trPr>
        <w:tc>
          <w:tcPr>
            <w:tcW w:w="0" w:type="auto"/>
          </w:tcPr>
          <w:p w:rsidR="00CF5BC5" w:rsidRPr="00CF5BC5" w:rsidRDefault="00CF5BC5" w:rsidP="00CF5BC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Диаметр рабочего инструмента</w:t>
            </w:r>
          </w:p>
        </w:tc>
        <w:tc>
          <w:tcPr>
            <w:tcW w:w="0" w:type="auto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color w:val="605E67"/>
              </w:rPr>
            </w:pPr>
            <w:r w:rsidRPr="00CF5BC5">
              <w:rPr>
                <w:rFonts w:ascii="Times New Roman" w:hAnsi="Times New Roman" w:cs="Times New Roman"/>
                <w:color w:val="605E67"/>
              </w:rPr>
              <w:t>0,08</w:t>
            </w:r>
          </w:p>
        </w:tc>
        <w:tc>
          <w:tcPr>
            <w:tcW w:w="1292" w:type="dxa"/>
          </w:tcPr>
          <w:p w:rsidR="00CF5BC5" w:rsidRPr="00CF5BC5" w:rsidRDefault="00CF5BC5" w:rsidP="00AE6440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605E67"/>
                <w:w w:val="84"/>
              </w:rPr>
            </w:pPr>
            <w:r w:rsidRPr="00CF5BC5">
              <w:rPr>
                <w:rFonts w:ascii="Times New Roman" w:hAnsi="Times New Roman" w:cs="Times New Roman"/>
                <w:b/>
                <w:bCs/>
                <w:color w:val="605E67"/>
                <w:w w:val="84"/>
              </w:rPr>
              <w:t>м</w:t>
            </w:r>
          </w:p>
        </w:tc>
      </w:tr>
      <w:tr w:rsidR="00A33D3A" w:rsidRPr="00CF5BC5" w:rsidTr="0046763C">
        <w:trPr>
          <w:trHeight w:val="281"/>
          <w:jc w:val="center"/>
        </w:trPr>
        <w:tc>
          <w:tcPr>
            <w:tcW w:w="6654" w:type="dxa"/>
            <w:gridSpan w:val="3"/>
          </w:tcPr>
          <w:p w:rsidR="00A33D3A" w:rsidRPr="00CF5BC5" w:rsidRDefault="00A33D3A" w:rsidP="00A33D3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b/>
                <w:bCs/>
                <w:color w:val="605E67"/>
                <w:w w:val="84"/>
              </w:rPr>
            </w:pPr>
            <w:r w:rsidRPr="00A33D3A">
              <w:rPr>
                <w:rFonts w:ascii="Times New Roman" w:hAnsi="Times New Roman" w:cs="Times New Roman"/>
                <w:color w:val="605E67"/>
              </w:rPr>
              <w:t>Применяемость</w:t>
            </w:r>
            <w:r>
              <w:rPr>
                <w:rFonts w:ascii="Times New Roman" w:hAnsi="Times New Roman" w:cs="Times New Roman"/>
                <w:color w:val="605E67"/>
              </w:rPr>
              <w:t xml:space="preserve">; </w:t>
            </w:r>
            <w:r w:rsidRPr="00A33D3A">
              <w:rPr>
                <w:rFonts w:ascii="Times New Roman" w:hAnsi="Times New Roman" w:cs="Times New Roman"/>
                <w:color w:val="605E67"/>
              </w:rPr>
              <w:t xml:space="preserve">САРЭКС, ЗЛАТЭКС, БОРЭКС, LEX, ЭО-2621, ЭО-2626, ЭО-2101, ЭО-2202, ЭП-2626Е </w:t>
            </w:r>
            <w:proofErr w:type="spellStart"/>
            <w:r w:rsidRPr="00A33D3A">
              <w:rPr>
                <w:rFonts w:ascii="Times New Roman" w:hAnsi="Times New Roman" w:cs="Times New Roman"/>
                <w:color w:val="605E67"/>
              </w:rPr>
              <w:t>Елазовец</w:t>
            </w:r>
            <w:proofErr w:type="spellEnd"/>
            <w:r w:rsidRPr="00A33D3A">
              <w:rPr>
                <w:rFonts w:ascii="Times New Roman" w:hAnsi="Times New Roman" w:cs="Times New Roman"/>
                <w:color w:val="605E67"/>
              </w:rPr>
              <w:t>, ТО-49, 702Е, 702ЕА, АТЕК-999, ДЭМ-114, ЭБП-5, ЭПБ-7, ЭПБ-9, ЭПБ-11 «</w:t>
            </w:r>
            <w:proofErr w:type="spellStart"/>
            <w:r w:rsidRPr="00A33D3A">
              <w:rPr>
                <w:rFonts w:ascii="Times New Roman" w:hAnsi="Times New Roman" w:cs="Times New Roman"/>
                <w:color w:val="605E67"/>
              </w:rPr>
              <w:t>Беловеж</w:t>
            </w:r>
            <w:proofErr w:type="spellEnd"/>
            <w:r w:rsidRPr="00A33D3A">
              <w:rPr>
                <w:rFonts w:ascii="Times New Roman" w:hAnsi="Times New Roman" w:cs="Times New Roman"/>
                <w:color w:val="605E67"/>
              </w:rPr>
              <w:t xml:space="preserve">», Бородянка, </w:t>
            </w:r>
            <w:proofErr w:type="spellStart"/>
            <w:r w:rsidRPr="00A33D3A">
              <w:rPr>
                <w:rFonts w:ascii="Times New Roman" w:hAnsi="Times New Roman" w:cs="Times New Roman"/>
                <w:color w:val="605E67"/>
              </w:rPr>
              <w:t>Интердон</w:t>
            </w:r>
            <w:proofErr w:type="spellEnd"/>
          </w:p>
        </w:tc>
      </w:tr>
    </w:tbl>
    <w:p w:rsidR="00360442" w:rsidRPr="000A4DA1" w:rsidRDefault="00360442" w:rsidP="008A0683"/>
    <w:p w:rsidR="00396383" w:rsidRPr="009E5F7F" w:rsidRDefault="00A87AD0" w:rsidP="0056764D">
      <w:pPr>
        <w:rPr>
          <w:i/>
        </w:rPr>
      </w:pPr>
      <w:r w:rsidRPr="00A87AD0">
        <w:rPr>
          <w:b/>
        </w:rPr>
        <w:t xml:space="preserve">Из истории </w:t>
      </w:r>
      <w:proofErr w:type="spellStart"/>
      <w:r w:rsidRPr="00A87AD0">
        <w:rPr>
          <w:b/>
        </w:rPr>
        <w:t>гидромолотов</w:t>
      </w:r>
      <w:proofErr w:type="spellEnd"/>
      <w:r w:rsidRPr="00A87AD0">
        <w:rPr>
          <w:b/>
        </w:rPr>
        <w:t xml:space="preserve"> в России</w:t>
      </w:r>
      <w:r>
        <w:rPr>
          <w:i/>
        </w:rPr>
        <w:t xml:space="preserve">. </w:t>
      </w:r>
      <w:r w:rsidR="009E5F7F" w:rsidRPr="009E5F7F">
        <w:rPr>
          <w:i/>
        </w:rPr>
        <w:t>tradicia-k.ru</w:t>
      </w:r>
    </w:p>
    <w:p w:rsidR="009E5F7F" w:rsidRDefault="009E5F7F" w:rsidP="009E5F7F">
      <w:r>
        <w:t xml:space="preserve"> СССР выступал в роли одной из держав-родоначальников </w:t>
      </w:r>
      <w:proofErr w:type="spellStart"/>
      <w:r>
        <w:t>гидромолотостроении</w:t>
      </w:r>
      <w:proofErr w:type="spellEnd"/>
      <w:r>
        <w:t xml:space="preserve">. Клуб на тот момент был небольшим — Германия, Франция, Финляндия, СССР. Причём Советский союз выступал не в роли догоняющего игрока, а скорее в роли первооткрывателя, идущего собственным путём. Первые отечественные разработки стартовали практически сразу, как только произошёл переход от канатных машин к </w:t>
      </w:r>
      <w:proofErr w:type="gramStart"/>
      <w:r>
        <w:t>гидравлическим</w:t>
      </w:r>
      <w:proofErr w:type="gramEnd"/>
      <w:r>
        <w:t xml:space="preserve">, и имели весьма самобытную конструкцию. Аналогов многим техническим решениям, применяемым в СССР, не </w:t>
      </w:r>
      <w:proofErr w:type="gramStart"/>
      <w:r>
        <w:t>было в мире и нет</w:t>
      </w:r>
      <w:proofErr w:type="gramEnd"/>
      <w:r>
        <w:t xml:space="preserve"> до сих пор.</w:t>
      </w:r>
      <w:r w:rsidRPr="00396383">
        <w:t xml:space="preserve"> </w:t>
      </w:r>
    </w:p>
    <w:p w:rsidR="000C70D0" w:rsidRDefault="000C70D0" w:rsidP="000C70D0">
      <w:r>
        <w:t xml:space="preserve"> </w:t>
      </w:r>
      <w:proofErr w:type="gramStart"/>
      <w:r w:rsidRPr="007D604F">
        <w:rPr>
          <w:b/>
        </w:rPr>
        <w:t xml:space="preserve">Один из первых тяжёлых </w:t>
      </w:r>
      <w:proofErr w:type="spellStart"/>
      <w:r w:rsidRPr="007D604F">
        <w:rPr>
          <w:b/>
        </w:rPr>
        <w:t>гидромолотов</w:t>
      </w:r>
      <w:proofErr w:type="spellEnd"/>
      <w:r w:rsidRPr="007D604F">
        <w:rPr>
          <w:b/>
        </w:rPr>
        <w:t xml:space="preserve"> — СП-62ХЛ</w:t>
      </w:r>
      <w:r>
        <w:t xml:space="preserve">, разработанный всероссийском НИИ </w:t>
      </w:r>
      <w:proofErr w:type="spellStart"/>
      <w:r>
        <w:t>СтройДорМаш</w:t>
      </w:r>
      <w:proofErr w:type="spellEnd"/>
      <w:r>
        <w:t>, выпускался Ковровским экскаваторным заводом.</w:t>
      </w:r>
      <w:proofErr w:type="gramEnd"/>
      <w:r>
        <w:t xml:space="preserve"> Это первый и до сих пор единственный в мире </w:t>
      </w:r>
      <w:proofErr w:type="spellStart"/>
      <w:r>
        <w:t>гидромолот</w:t>
      </w:r>
      <w:proofErr w:type="spellEnd"/>
      <w:r>
        <w:t xml:space="preserve"> с полностью гидравлическим аккумулятором, в котором энергия </w:t>
      </w:r>
      <w:r>
        <w:lastRenderedPageBreak/>
        <w:t>накапливалась за счёт сжимаемости гидравличес</w:t>
      </w:r>
      <w:r w:rsidR="00157FBD">
        <w:t xml:space="preserve">кой жидкости. Вопреки </w:t>
      </w:r>
      <w:proofErr w:type="gramStart"/>
      <w:r w:rsidR="00157FBD">
        <w:t>расхожему</w:t>
      </w:r>
      <w:proofErr w:type="gramEnd"/>
      <w:r w:rsidR="00157FBD">
        <w:t xml:space="preserve"> </w:t>
      </w:r>
      <w:r>
        <w:t>стерео</w:t>
      </w:r>
      <w:r w:rsidR="00157FBD">
        <w:t>типу, что жидкость несжимаема,</w:t>
      </w:r>
      <w:r>
        <w:t xml:space="preserve"> это всего лишь допущение, необходимое для упрощения решения задач по гидростатике и гидродинамике, жидкость, в частности гидравлическое масло, вполне себе сжимаема. При определённых условиях до 5% от объёма.</w:t>
      </w:r>
    </w:p>
    <w:p w:rsidR="00916222" w:rsidRDefault="00157FBD" w:rsidP="000C70D0">
      <w:r>
        <w:t xml:space="preserve"> </w:t>
      </w:r>
      <w:r w:rsidR="000C70D0">
        <w:t xml:space="preserve">Такой эффект наблюдается при значительных перепадах давления </w:t>
      </w:r>
      <w:proofErr w:type="gramStart"/>
      <w:r w:rsidR="000C70D0">
        <w:t>—о</w:t>
      </w:r>
      <w:proofErr w:type="gramEnd"/>
      <w:r w:rsidR="000C70D0">
        <w:t xml:space="preserve">коло 600 атмосфер. Таким образом, </w:t>
      </w:r>
      <w:proofErr w:type="spellStart"/>
      <w:r w:rsidR="000C70D0">
        <w:t>гидромолот</w:t>
      </w:r>
      <w:proofErr w:type="spellEnd"/>
      <w:r w:rsidR="000C70D0">
        <w:t xml:space="preserve"> имел серьёзные преимущества — он не требовал зарядки </w:t>
      </w:r>
      <w:proofErr w:type="spellStart"/>
      <w:r w:rsidR="000C70D0">
        <w:t>пневмоаккумулятора</w:t>
      </w:r>
      <w:proofErr w:type="spellEnd"/>
      <w:r w:rsidR="000C70D0">
        <w:t xml:space="preserve"> вообще, соответственно, не имел проблем с утечками газа, как в современных поршневых молотках, или проблем с мембраной ПГА, как в молотах так н</w:t>
      </w:r>
      <w:r>
        <w:t>азываемого мембранного типа.</w:t>
      </w:r>
    </w:p>
    <w:p w:rsidR="000C70D0" w:rsidRDefault="00157FBD" w:rsidP="000C70D0">
      <w:r>
        <w:t xml:space="preserve"> Но</w:t>
      </w:r>
      <w:r w:rsidR="000C70D0">
        <w:t xml:space="preserve"> были </w:t>
      </w:r>
      <w:r>
        <w:t xml:space="preserve">и </w:t>
      </w:r>
      <w:r w:rsidR="000C70D0">
        <w:t>недостатки.</w:t>
      </w:r>
      <w:r w:rsidR="00916222">
        <w:t xml:space="preserve"> </w:t>
      </w:r>
      <w:r w:rsidR="000C70D0">
        <w:t xml:space="preserve">Во-первых, такой тип </w:t>
      </w:r>
      <w:proofErr w:type="spellStart"/>
      <w:r w:rsidR="000C70D0">
        <w:t>гидроаккумулятора</w:t>
      </w:r>
      <w:proofErr w:type="spellEnd"/>
      <w:r w:rsidR="000C70D0">
        <w:t>, в отличие от газового, обладает менее линейной характеристикой, что приводит к б</w:t>
      </w:r>
      <w:r w:rsidR="00916222">
        <w:t>о</w:t>
      </w:r>
      <w:r w:rsidR="000C70D0">
        <w:t>льшим скачкам давления в гидросистеме экскаватора и неблагоприятному на неё воздействию.</w:t>
      </w:r>
      <w:r w:rsidR="00916222">
        <w:t xml:space="preserve">  </w:t>
      </w:r>
      <w:r w:rsidR="000C70D0">
        <w:t xml:space="preserve">Во-вторых, для создания такого высокого давления в аккумуляторе требуется редуцирование рабочего давления, для чего необходим дополнительный механизм, который снижает надёжность и увеличивает стоимость. Также высокое давление предъявляет высокие требования к уплотнениям и точности </w:t>
      </w:r>
      <w:proofErr w:type="spellStart"/>
      <w:r w:rsidR="000C70D0">
        <w:t>гидокомпонентов</w:t>
      </w:r>
      <w:proofErr w:type="spellEnd"/>
      <w:r w:rsidR="000C70D0">
        <w:t>.</w:t>
      </w:r>
    </w:p>
    <w:p w:rsidR="000C70D0" w:rsidRDefault="00916222" w:rsidP="000C70D0">
      <w:r>
        <w:t xml:space="preserve"> </w:t>
      </w:r>
      <w:r w:rsidR="000C70D0">
        <w:t xml:space="preserve">Ну и последнее — для накопления достаточного количества энергии требуется значительный объём аккумулятора, что увеличивало габариты и стоимость молота. Все эти недостатки, а также невысокое качество исполнения и, как следствие, низкая </w:t>
      </w:r>
      <w:proofErr w:type="gramStart"/>
      <w:r w:rsidR="000C70D0">
        <w:t>надёжность</w:t>
      </w:r>
      <w:proofErr w:type="gramEnd"/>
      <w:r w:rsidR="000C70D0">
        <w:t xml:space="preserve"> в конце концов перевесили преимущества. Сегодня такое решение не используется в </w:t>
      </w:r>
      <w:proofErr w:type="spellStart"/>
      <w:r w:rsidR="000C70D0">
        <w:t>гидромолотостроении</w:t>
      </w:r>
      <w:proofErr w:type="spellEnd"/>
      <w:r w:rsidR="000C70D0">
        <w:t>, хотя сама идея по-своему гениальна и самобытна.</w:t>
      </w:r>
    </w:p>
    <w:p w:rsidR="000C70D0" w:rsidRPr="008075E4" w:rsidRDefault="000C70D0" w:rsidP="000C70D0">
      <w:pPr>
        <w:rPr>
          <w:b/>
        </w:rPr>
      </w:pPr>
      <w:proofErr w:type="spellStart"/>
      <w:r w:rsidRPr="008075E4">
        <w:rPr>
          <w:b/>
        </w:rPr>
        <w:t>Гидромолот</w:t>
      </w:r>
      <w:proofErr w:type="spellEnd"/>
      <w:r w:rsidRPr="008075E4">
        <w:rPr>
          <w:b/>
        </w:rPr>
        <w:t xml:space="preserve"> ГПМ-120 и СП-71</w:t>
      </w:r>
    </w:p>
    <w:p w:rsidR="000C70D0" w:rsidRDefault="008075E4" w:rsidP="000C70D0">
      <w:r>
        <w:t xml:space="preserve"> </w:t>
      </w:r>
      <w:r w:rsidR="007E451A" w:rsidRPr="007E451A">
        <w:t xml:space="preserve">Первые серийно освоенные модели </w:t>
      </w:r>
      <w:r w:rsidR="000C70D0">
        <w:t xml:space="preserve">— </w:t>
      </w:r>
      <w:proofErr w:type="spellStart"/>
      <w:r w:rsidR="000C70D0">
        <w:t>гидромолот</w:t>
      </w:r>
      <w:proofErr w:type="spellEnd"/>
      <w:r w:rsidR="000C70D0">
        <w:t xml:space="preserve"> ГПМ-120 и его более тяжёлый собрат СП-71. Предназначался он для использования на экскаваторах второй размерной группы типа ЭО-2621. (СП-71 использовался на машинах третьей размерной группы, например, ЭО-3323). Во времена СССР ГПМ-120 был самым массовым </w:t>
      </w:r>
      <w:proofErr w:type="spellStart"/>
      <w:r w:rsidR="000C70D0">
        <w:t>гидромолотом</w:t>
      </w:r>
      <w:proofErr w:type="spellEnd"/>
      <w:r w:rsidR="000C70D0">
        <w:t>, выпускался десятками тысяч на нескольких экскаваторных заводах, производящих машины на базе трактор</w:t>
      </w:r>
      <w:r>
        <w:t>ов Беларусь</w:t>
      </w:r>
      <w:r w:rsidR="000C70D0">
        <w:t xml:space="preserve">. На наш взгляд, в нём реализована не менее самобытная и гениальная схема работы. Только на этот раз гениальность заключается в исключительной простоте конструкции и — как прямое следствие — высочайшей ремонтопригодности и надёжности, даже несмотря на низкую культуру производства. В отличие от </w:t>
      </w:r>
      <w:proofErr w:type="gramStart"/>
      <w:r w:rsidR="000C70D0">
        <w:t>современных</w:t>
      </w:r>
      <w:proofErr w:type="gramEnd"/>
      <w:r w:rsidR="000C70D0">
        <w:t xml:space="preserve"> </w:t>
      </w:r>
      <w:proofErr w:type="spellStart"/>
      <w:r w:rsidR="000C70D0">
        <w:t>гидромолотов</w:t>
      </w:r>
      <w:proofErr w:type="spellEnd"/>
      <w:r w:rsidR="000C70D0">
        <w:t xml:space="preserve">, в ГПМ-120 отсутствовал распределитель золотникового принципа в современном его понимании. Роль управления играл подвижный воздушный клапан, который управлял циклами работы молота и одновременно являлся элементом </w:t>
      </w:r>
      <w:proofErr w:type="spellStart"/>
      <w:r w:rsidR="000C70D0">
        <w:t>гидроаккумулятора</w:t>
      </w:r>
      <w:proofErr w:type="spellEnd"/>
      <w:r w:rsidR="000C70D0">
        <w:t>.</w:t>
      </w:r>
    </w:p>
    <w:p w:rsidR="000C70D0" w:rsidRDefault="007D604F" w:rsidP="000C70D0">
      <w:r>
        <w:t xml:space="preserve"> </w:t>
      </w:r>
      <w:r w:rsidR="000C70D0">
        <w:t xml:space="preserve">Конструкция определяла довольно невысокие требования к точности механической обработки деталей. Нижние гидравлические уплотнения работали под сливным давлением (около 5-10 атмосфер), что было особенно важно, учитывая качество РТИ, выпускаемых в то время в СССР, и также влияло на ресурс и надёжность. Учитывая большой объём </w:t>
      </w:r>
      <w:proofErr w:type="spellStart"/>
      <w:r w:rsidR="000C70D0">
        <w:t>пневмоаккумулятора</w:t>
      </w:r>
      <w:proofErr w:type="spellEnd"/>
      <w:r w:rsidR="000C70D0">
        <w:t xml:space="preserve"> и низкую степень сжатия, допускалась его заправка атмосферным воздухом от обычного компрессора без опасности детонации воздушно-масляной смеси, что тоже немалое преимущество.</w:t>
      </w:r>
    </w:p>
    <w:p w:rsidR="000C70D0" w:rsidRDefault="007D604F" w:rsidP="000C70D0">
      <w:r>
        <w:t xml:space="preserve"> </w:t>
      </w:r>
      <w:r w:rsidR="000C70D0">
        <w:t>Такая конструкция предъявляла особые требования к сливной магистрали — для достижения необходимой частоты требовалось большое проходное сечение. С этим ещё можно было смириться, но вот фатальным недостатком такой конструкции стал низкий КПД, что выражалось в низкой частоте работы молота и, как следствие, невысокой производительности. Это и определило дальнейшую судьбу такого конструктивного решения.</w:t>
      </w:r>
    </w:p>
    <w:p w:rsidR="000C70D0" w:rsidRDefault="00441162" w:rsidP="000C70D0">
      <w:r>
        <w:t xml:space="preserve"> </w:t>
      </w:r>
      <w:r w:rsidR="000C70D0">
        <w:t xml:space="preserve">Как только рынок </w:t>
      </w:r>
      <w:proofErr w:type="gramStart"/>
      <w:r w:rsidR="000C70D0">
        <w:t>современной</w:t>
      </w:r>
      <w:proofErr w:type="gramEnd"/>
      <w:r w:rsidR="000C70D0">
        <w:t xml:space="preserve"> </w:t>
      </w:r>
      <w:proofErr w:type="spellStart"/>
      <w:r w:rsidR="000C70D0">
        <w:t>россии</w:t>
      </w:r>
      <w:proofErr w:type="spellEnd"/>
      <w:r w:rsidR="000C70D0">
        <w:t xml:space="preserve"> открылся для зарубежных молотов, спрос на этот молот медленно, но неуклонно снижался до тех пор, пока не прекратился вовсе. Справедливости ради стоит отметить, что за счёт низкой цены, высокой надёжности и низкой стоимости владения он ещё прилично продержался. Но молот попросту морально устарел и место ему, хоть и почётное, разве что в музее.</w:t>
      </w:r>
    </w:p>
    <w:p w:rsidR="00500DB4" w:rsidRDefault="00500DB4" w:rsidP="00500DB4">
      <w:r>
        <w:t xml:space="preserve"> Полноценным и единственным правопреемником </w:t>
      </w:r>
      <w:proofErr w:type="spellStart"/>
      <w:r>
        <w:t>гидромолотостроения</w:t>
      </w:r>
      <w:proofErr w:type="spellEnd"/>
      <w:r>
        <w:t xml:space="preserve"> в современной России стала компания Технопарк «Импульс». Вершиной конструкторской и технологической мысли стали </w:t>
      </w:r>
      <w:proofErr w:type="spellStart"/>
      <w:r>
        <w:t>гидромолоты</w:t>
      </w:r>
      <w:proofErr w:type="spellEnd"/>
      <w:r>
        <w:t xml:space="preserve"> </w:t>
      </w:r>
      <w:proofErr w:type="spellStart"/>
      <w:r>
        <w:t>Impulse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. Уникальность этих молотов заключается в том, что, обладая КПД и производительностью лучших мировых образцов, эти молоты весьма технологичны и </w:t>
      </w:r>
      <w:proofErr w:type="spellStart"/>
      <w:r>
        <w:t>ремонтопригодны</w:t>
      </w:r>
      <w:proofErr w:type="spellEnd"/>
      <w:r>
        <w:t>.</w:t>
      </w:r>
    </w:p>
    <w:p w:rsidR="0004163E" w:rsidRDefault="00500DB4" w:rsidP="00402203">
      <w:r>
        <w:t xml:space="preserve"> Стоимость их владения до 3 раз меньше, чем у зарубежных аналогов, при этом надёжность и </w:t>
      </w:r>
      <w:r>
        <w:lastRenderedPageBreak/>
        <w:t xml:space="preserve">ресурс либо выше, либо находится на том же уровне. Иными словами, эта группа молотов обладает наилучшим соотношением цены и качества, что подтверждают цифры реализации. Продажи </w:t>
      </w:r>
      <w:proofErr w:type="spellStart"/>
      <w:r>
        <w:t>Impulse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исчисляются тысячами, доля рынка и популярность этих молотков неуклонно растут, причём не только в России. Продукция </w:t>
      </w:r>
      <w:proofErr w:type="spellStart"/>
      <w:r>
        <w:t>Impulse</w:t>
      </w:r>
      <w:proofErr w:type="spellEnd"/>
      <w:r>
        <w:t xml:space="preserve"> экспортируется в 15 стран мира. </w:t>
      </w:r>
      <w:proofErr w:type="gramStart"/>
      <w:r>
        <w:t>Среди них - Германия, Великобритания, Канада, Италия, ЮАР, ОАЭ, Польша, Австралия, Китай.</w:t>
      </w:r>
      <w:r w:rsidR="000D6F17">
        <w:t xml:space="preserve"> </w:t>
      </w:r>
      <w:r w:rsidR="00402203">
        <w:t xml:space="preserve"> </w:t>
      </w:r>
      <w:proofErr w:type="gramEnd"/>
    </w:p>
    <w:p w:rsidR="00664643" w:rsidRDefault="00664643" w:rsidP="000655FA"/>
    <w:p w:rsidR="00664643" w:rsidRPr="008568F3" w:rsidRDefault="00402203" w:rsidP="000655FA">
      <w:r>
        <w:rPr>
          <w:b/>
        </w:rPr>
        <w:t xml:space="preserve"> </w:t>
      </w:r>
      <w:r w:rsidR="00664643" w:rsidRPr="00664643">
        <w:t xml:space="preserve"> </w:t>
      </w:r>
    </w:p>
    <w:sectPr w:rsidR="00664643" w:rsidRPr="008568F3" w:rsidSect="007D604F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35"/>
    <w:rsid w:val="00007F49"/>
    <w:rsid w:val="0004163E"/>
    <w:rsid w:val="00046DC4"/>
    <w:rsid w:val="000655FA"/>
    <w:rsid w:val="00086A8D"/>
    <w:rsid w:val="000A4DA1"/>
    <w:rsid w:val="000C70D0"/>
    <w:rsid w:val="000D6F17"/>
    <w:rsid w:val="000E5ABB"/>
    <w:rsid w:val="00125678"/>
    <w:rsid w:val="00157FBD"/>
    <w:rsid w:val="00200192"/>
    <w:rsid w:val="002010EE"/>
    <w:rsid w:val="00211DC0"/>
    <w:rsid w:val="002A4D1D"/>
    <w:rsid w:val="0030429E"/>
    <w:rsid w:val="00360442"/>
    <w:rsid w:val="00396383"/>
    <w:rsid w:val="003E51C4"/>
    <w:rsid w:val="003E5C40"/>
    <w:rsid w:val="003E6A37"/>
    <w:rsid w:val="00402203"/>
    <w:rsid w:val="00425B99"/>
    <w:rsid w:val="00441162"/>
    <w:rsid w:val="004B5B51"/>
    <w:rsid w:val="004C4549"/>
    <w:rsid w:val="004E374C"/>
    <w:rsid w:val="00500DB4"/>
    <w:rsid w:val="0052150E"/>
    <w:rsid w:val="0056764D"/>
    <w:rsid w:val="005A00CA"/>
    <w:rsid w:val="005F5DB6"/>
    <w:rsid w:val="00664643"/>
    <w:rsid w:val="006B62A3"/>
    <w:rsid w:val="006D253E"/>
    <w:rsid w:val="00714477"/>
    <w:rsid w:val="00787544"/>
    <w:rsid w:val="00790E76"/>
    <w:rsid w:val="007D604F"/>
    <w:rsid w:val="007D7FB1"/>
    <w:rsid w:val="007E451A"/>
    <w:rsid w:val="008044BC"/>
    <w:rsid w:val="008075E4"/>
    <w:rsid w:val="008A0683"/>
    <w:rsid w:val="00916222"/>
    <w:rsid w:val="009227F3"/>
    <w:rsid w:val="009507FE"/>
    <w:rsid w:val="00955693"/>
    <w:rsid w:val="00977B53"/>
    <w:rsid w:val="00984EFC"/>
    <w:rsid w:val="009C6535"/>
    <w:rsid w:val="009E5F7F"/>
    <w:rsid w:val="009F7782"/>
    <w:rsid w:val="00A33D3A"/>
    <w:rsid w:val="00A36250"/>
    <w:rsid w:val="00A85D35"/>
    <w:rsid w:val="00A87AD0"/>
    <w:rsid w:val="00AA6CDE"/>
    <w:rsid w:val="00AC59E7"/>
    <w:rsid w:val="00AE6440"/>
    <w:rsid w:val="00B7172B"/>
    <w:rsid w:val="00C72AA7"/>
    <w:rsid w:val="00C96EAC"/>
    <w:rsid w:val="00CE126A"/>
    <w:rsid w:val="00CE276A"/>
    <w:rsid w:val="00CF4BD4"/>
    <w:rsid w:val="00CF5BC5"/>
    <w:rsid w:val="00D54D78"/>
    <w:rsid w:val="00D90654"/>
    <w:rsid w:val="00DF4776"/>
    <w:rsid w:val="00E6642C"/>
    <w:rsid w:val="00E71D1B"/>
    <w:rsid w:val="00E83BE5"/>
    <w:rsid w:val="00E915F1"/>
    <w:rsid w:val="00EA7888"/>
    <w:rsid w:val="00ED6747"/>
    <w:rsid w:val="00ED7A29"/>
    <w:rsid w:val="00F07A5E"/>
    <w:rsid w:val="00F24C60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3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4163E"/>
    <w:pPr>
      <w:spacing w:line="192" w:lineRule="exact"/>
      <w:jc w:val="center"/>
    </w:pPr>
  </w:style>
  <w:style w:type="character" w:customStyle="1" w:styleId="FontStyle14">
    <w:name w:val="Font Style14"/>
    <w:uiPriority w:val="99"/>
    <w:rsid w:val="0004163E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04163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04163E"/>
    <w:pPr>
      <w:spacing w:line="226" w:lineRule="exact"/>
      <w:ind w:hanging="557"/>
    </w:pPr>
  </w:style>
  <w:style w:type="character" w:customStyle="1" w:styleId="FontStyle16">
    <w:name w:val="Font Style16"/>
    <w:uiPriority w:val="99"/>
    <w:rsid w:val="0004163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4163E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4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6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72AA7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72AA7"/>
    <w:rPr>
      <w:color w:val="0000FF"/>
      <w:u w:val="single"/>
    </w:rPr>
  </w:style>
  <w:style w:type="paragraph" w:styleId="a7">
    <w:name w:val="Body Text"/>
    <w:basedOn w:val="a"/>
    <w:link w:val="a8"/>
    <w:semiHidden/>
    <w:rsid w:val="00425B99"/>
    <w:pPr>
      <w:widowControl/>
      <w:autoSpaceDE/>
      <w:autoSpaceDN/>
      <w:adjustRightInd/>
      <w:jc w:val="center"/>
    </w:pPr>
    <w:rPr>
      <w:rFonts w:ascii="Journal" w:hAnsi="Journal"/>
      <w:sz w:val="58"/>
      <w:szCs w:val="20"/>
    </w:rPr>
  </w:style>
  <w:style w:type="character" w:customStyle="1" w:styleId="a8">
    <w:name w:val="Основной текст Знак"/>
    <w:basedOn w:val="a0"/>
    <w:link w:val="a7"/>
    <w:semiHidden/>
    <w:rsid w:val="00425B99"/>
    <w:rPr>
      <w:rFonts w:ascii="Journal" w:eastAsia="Times New Roman" w:hAnsi="Journal" w:cs="Times New Roman"/>
      <w:sz w:val="5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F5BC5"/>
    <w:pPr>
      <w:widowControl/>
      <w:spacing w:before="82"/>
      <w:ind w:left="55"/>
    </w:pPr>
    <w:rPr>
      <w:rFonts w:ascii="Arial" w:eastAsiaTheme="minorHAnsi" w:hAnsi="Arial" w:cs="Arial"/>
      <w:lang w:eastAsia="en-US"/>
    </w:rPr>
  </w:style>
  <w:style w:type="table" w:styleId="a9">
    <w:name w:val="Table Grid"/>
    <w:basedOn w:val="a1"/>
    <w:uiPriority w:val="59"/>
    <w:rsid w:val="00CF5B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3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4163E"/>
    <w:pPr>
      <w:spacing w:line="192" w:lineRule="exact"/>
      <w:jc w:val="center"/>
    </w:pPr>
  </w:style>
  <w:style w:type="character" w:customStyle="1" w:styleId="FontStyle14">
    <w:name w:val="Font Style14"/>
    <w:uiPriority w:val="99"/>
    <w:rsid w:val="0004163E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04163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04163E"/>
    <w:pPr>
      <w:spacing w:line="226" w:lineRule="exact"/>
      <w:ind w:hanging="557"/>
    </w:pPr>
  </w:style>
  <w:style w:type="character" w:customStyle="1" w:styleId="FontStyle16">
    <w:name w:val="Font Style16"/>
    <w:uiPriority w:val="99"/>
    <w:rsid w:val="0004163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4163E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4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6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72AA7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72AA7"/>
    <w:rPr>
      <w:color w:val="0000FF"/>
      <w:u w:val="single"/>
    </w:rPr>
  </w:style>
  <w:style w:type="paragraph" w:styleId="a7">
    <w:name w:val="Body Text"/>
    <w:basedOn w:val="a"/>
    <w:link w:val="a8"/>
    <w:semiHidden/>
    <w:rsid w:val="00425B99"/>
    <w:pPr>
      <w:widowControl/>
      <w:autoSpaceDE/>
      <w:autoSpaceDN/>
      <w:adjustRightInd/>
      <w:jc w:val="center"/>
    </w:pPr>
    <w:rPr>
      <w:rFonts w:ascii="Journal" w:hAnsi="Journal"/>
      <w:sz w:val="58"/>
      <w:szCs w:val="20"/>
    </w:rPr>
  </w:style>
  <w:style w:type="character" w:customStyle="1" w:styleId="a8">
    <w:name w:val="Основной текст Знак"/>
    <w:basedOn w:val="a0"/>
    <w:link w:val="a7"/>
    <w:semiHidden/>
    <w:rsid w:val="00425B99"/>
    <w:rPr>
      <w:rFonts w:ascii="Journal" w:eastAsia="Times New Roman" w:hAnsi="Journal" w:cs="Times New Roman"/>
      <w:sz w:val="5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F5BC5"/>
    <w:pPr>
      <w:widowControl/>
      <w:spacing w:before="82"/>
      <w:ind w:left="55"/>
    </w:pPr>
    <w:rPr>
      <w:rFonts w:ascii="Arial" w:eastAsiaTheme="minorHAnsi" w:hAnsi="Arial" w:cs="Arial"/>
      <w:lang w:eastAsia="en-US"/>
    </w:rPr>
  </w:style>
  <w:style w:type="table" w:styleId="a9">
    <w:name w:val="Table Grid"/>
    <w:basedOn w:val="a1"/>
    <w:uiPriority w:val="59"/>
    <w:rsid w:val="00CF5B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4D5E-D8DE-4097-BF5E-6EB6EAE2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39</cp:revision>
  <dcterms:created xsi:type="dcterms:W3CDTF">2022-08-20T05:51:00Z</dcterms:created>
  <dcterms:modified xsi:type="dcterms:W3CDTF">2022-08-23T16:54:00Z</dcterms:modified>
</cp:coreProperties>
</file>