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92" w:rsidRDefault="005E2F80" w:rsidP="0086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01-312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АН</w:t>
      </w:r>
      <w:proofErr w:type="gram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="00867D92" w:rsidRPr="00867D92">
        <w:rPr>
          <w:rFonts w:ascii="Times New Roman" w:hAnsi="Times New Roman" w:cs="Times New Roman"/>
          <w:b/>
          <w:sz w:val="28"/>
          <w:szCs w:val="28"/>
        </w:rPr>
        <w:t>Л)-20-660</w:t>
      </w:r>
      <w:r>
        <w:rPr>
          <w:rFonts w:ascii="Times New Roman" w:hAnsi="Times New Roman" w:cs="Times New Roman"/>
          <w:b/>
          <w:sz w:val="28"/>
          <w:szCs w:val="28"/>
        </w:rPr>
        <w:t xml:space="preserve"> (3309)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пожарный автомобиль тушения ле</w:t>
      </w:r>
      <w:r w:rsidR="00A74781">
        <w:rPr>
          <w:rFonts w:ascii="Times New Roman" w:hAnsi="Times New Roman" w:cs="Times New Roman"/>
          <w:b/>
          <w:sz w:val="28"/>
          <w:szCs w:val="28"/>
        </w:rPr>
        <w:t>сных пожаров на базе УАЗ-3909</w:t>
      </w:r>
      <w:r w:rsidR="00187729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92">
        <w:rPr>
          <w:rFonts w:ascii="Times New Roman" w:hAnsi="Times New Roman" w:cs="Times New Roman"/>
          <w:b/>
          <w:sz w:val="28"/>
          <w:szCs w:val="28"/>
        </w:rPr>
        <w:t>4х4</w:t>
      </w:r>
      <w:r w:rsidR="00A747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лебёдк</w:t>
      </w:r>
      <w:r w:rsidR="00A74781">
        <w:rPr>
          <w:rFonts w:ascii="Times New Roman" w:hAnsi="Times New Roman" w:cs="Times New Roman"/>
          <w:b/>
          <w:sz w:val="28"/>
          <w:szCs w:val="28"/>
        </w:rPr>
        <w:t>а 5 тс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6110">
        <w:rPr>
          <w:rFonts w:ascii="Times New Roman" w:hAnsi="Times New Roman" w:cs="Times New Roman"/>
          <w:b/>
          <w:sz w:val="28"/>
          <w:szCs w:val="28"/>
        </w:rPr>
        <w:t>полимерный резервуар ПЭР-12 12 м3,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81">
        <w:rPr>
          <w:rFonts w:ascii="Times New Roman" w:hAnsi="Times New Roman" w:cs="Times New Roman"/>
          <w:b/>
          <w:sz w:val="28"/>
          <w:szCs w:val="28"/>
        </w:rPr>
        <w:t xml:space="preserve">насос ПН-20 1200 л/с,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съёмн</w:t>
      </w:r>
      <w:r w:rsidR="00A74781">
        <w:rPr>
          <w:rFonts w:ascii="Times New Roman" w:hAnsi="Times New Roman" w:cs="Times New Roman"/>
          <w:b/>
          <w:sz w:val="28"/>
          <w:szCs w:val="28"/>
        </w:rPr>
        <w:t>ая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мот</w:t>
      </w:r>
      <w:r w:rsidR="005722D9">
        <w:rPr>
          <w:rFonts w:ascii="Times New Roman" w:hAnsi="Times New Roman" w:cs="Times New Roman"/>
          <w:b/>
          <w:sz w:val="28"/>
          <w:szCs w:val="28"/>
        </w:rPr>
        <w:t>опомп</w:t>
      </w:r>
      <w:r w:rsidR="00A74781">
        <w:rPr>
          <w:rFonts w:ascii="Times New Roman" w:hAnsi="Times New Roman" w:cs="Times New Roman"/>
          <w:b/>
          <w:sz w:val="28"/>
          <w:szCs w:val="28"/>
        </w:rPr>
        <w:t>а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81" w:rsidRPr="00A74781">
        <w:rPr>
          <w:rFonts w:ascii="Times New Roman" w:hAnsi="Times New Roman" w:cs="Times New Roman"/>
          <w:b/>
          <w:sz w:val="28"/>
          <w:szCs w:val="28"/>
        </w:rPr>
        <w:t>PTG-307</w:t>
      </w:r>
      <w:r w:rsidR="00A74781">
        <w:rPr>
          <w:rFonts w:ascii="Times New Roman" w:hAnsi="Times New Roman" w:cs="Times New Roman"/>
          <w:b/>
          <w:sz w:val="28"/>
          <w:szCs w:val="28"/>
        </w:rPr>
        <w:t xml:space="preserve"> 1000 л/мин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, боевой расчёт </w:t>
      </w:r>
      <w:r w:rsidR="0014041B">
        <w:rPr>
          <w:rFonts w:ascii="Times New Roman" w:hAnsi="Times New Roman" w:cs="Times New Roman"/>
          <w:b/>
          <w:sz w:val="28"/>
          <w:szCs w:val="28"/>
        </w:rPr>
        <w:t>4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70 л, полный вес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2.8 </w:t>
      </w:r>
      <w:proofErr w:type="spell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УМЗ 84 </w:t>
      </w:r>
      <w:proofErr w:type="spell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r w:rsidR="00DB01DA">
        <w:rPr>
          <w:rFonts w:ascii="Times New Roman" w:hAnsi="Times New Roman" w:cs="Times New Roman"/>
          <w:b/>
          <w:sz w:val="28"/>
          <w:szCs w:val="28"/>
        </w:rPr>
        <w:t xml:space="preserve">опытные,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ООО "Каланча" г. Сергиев Посад</w:t>
      </w:r>
      <w:r>
        <w:rPr>
          <w:rFonts w:ascii="Times New Roman" w:hAnsi="Times New Roman" w:cs="Times New Roman"/>
          <w:b/>
          <w:sz w:val="28"/>
          <w:szCs w:val="28"/>
        </w:rPr>
        <w:t>, с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200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67D92" w:rsidRDefault="00014CDC" w:rsidP="00647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D4C65C" wp14:editId="35CA7517">
            <wp:simplePos x="0" y="0"/>
            <wp:positionH relativeFrom="margin">
              <wp:posOffset>666750</wp:posOffset>
            </wp:positionH>
            <wp:positionV relativeFrom="margin">
              <wp:posOffset>1123950</wp:posOffset>
            </wp:positionV>
            <wp:extent cx="4761865" cy="35712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92" w:rsidRPr="001D7CFB" w:rsidRDefault="00DB01DA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</w:t>
      </w:r>
      <w:r w:rsidR="001D7CFB">
        <w:rPr>
          <w:rFonts w:ascii="Times New Roman" w:hAnsi="Times New Roman" w:cs="Times New Roman"/>
          <w:sz w:val="24"/>
          <w:szCs w:val="24"/>
        </w:rPr>
        <w:t xml:space="preserve">идео </w:t>
      </w:r>
      <w:r w:rsidR="001D7CFB" w:rsidRPr="001D7CFB">
        <w:rPr>
          <w:rFonts w:ascii="Times New Roman" w:hAnsi="Times New Roman" w:cs="Times New Roman"/>
          <w:sz w:val="24"/>
          <w:szCs w:val="24"/>
        </w:rPr>
        <w:t>https://www.youtube.com/watch?v=tOWUiwk3fu0</w:t>
      </w:r>
      <w:r>
        <w:rPr>
          <w:rFonts w:ascii="Times New Roman" w:hAnsi="Times New Roman" w:cs="Times New Roman"/>
          <w:sz w:val="24"/>
          <w:szCs w:val="24"/>
        </w:rPr>
        <w:t xml:space="preserve"> показан вариант с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мотопомпой и, похоже, без стационарного насоса.</w:t>
      </w:r>
      <w:bookmarkStart w:id="0" w:name="_GoBack"/>
      <w:bookmarkEnd w:id="0"/>
    </w:p>
    <w:p w:rsidR="00514655" w:rsidRPr="008F39D7" w:rsidRDefault="00514655" w:rsidP="0051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C50">
        <w:rPr>
          <w:rFonts w:ascii="Times New Roman" w:hAnsi="Times New Roman" w:cs="Times New Roman"/>
          <w:sz w:val="24"/>
          <w:szCs w:val="24"/>
        </w:rPr>
        <w:t>ООО “Каланча” Московская обл., г. Сер</w:t>
      </w:r>
      <w:r>
        <w:rPr>
          <w:rFonts w:ascii="Times New Roman" w:hAnsi="Times New Roman" w:cs="Times New Roman"/>
          <w:sz w:val="24"/>
          <w:szCs w:val="24"/>
        </w:rPr>
        <w:t>гиев Посад, ул. Железнодорожная</w:t>
      </w:r>
      <w:r w:rsidRPr="00141C50">
        <w:rPr>
          <w:rFonts w:ascii="Times New Roman" w:hAnsi="Times New Roman" w:cs="Times New Roman"/>
          <w:sz w:val="24"/>
          <w:szCs w:val="24"/>
        </w:rPr>
        <w:t xml:space="preserve"> 22/1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D7">
        <w:rPr>
          <w:rFonts w:ascii="Times New Roman" w:eastAsia="Times New Roman" w:hAnsi="Times New Roman" w:cs="Times New Roman"/>
          <w:sz w:val="24"/>
          <w:szCs w:val="24"/>
          <w:lang w:eastAsia="ru-RU"/>
        </w:rPr>
        <w:t>kalancha@kalancha.ruURL</w:t>
      </w:r>
      <w:proofErr w:type="spellEnd"/>
      <w:r w:rsidRPr="008F39D7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http://www.kalancha.ru. ООО «Каланча» с 1994 года занимается исследованиями и разработкой собственных уникальных технологий и оборудования в области пожаротушения.</w:t>
      </w:r>
    </w:p>
    <w:p w:rsidR="00A46CD6" w:rsidRDefault="00A46CD6" w:rsidP="008D7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автом</w:t>
      </w:r>
      <w:r w:rsidR="001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 легкого класса АН</w:t>
      </w:r>
      <w:proofErr w:type="gramStart"/>
      <w:r w:rsidR="0014041B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1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л)-20-66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0 - внедорожник</w:t>
      </w:r>
      <w:r w:rsidRPr="00A46CD6">
        <w:rPr>
          <w:rFonts w:ascii="Times New Roman" w:hAnsi="Times New Roman" w:cs="Times New Roman"/>
          <w:sz w:val="24"/>
          <w:szCs w:val="24"/>
        </w:rPr>
        <w:t xml:space="preserve"> </w:t>
      </w:r>
      <w:r w:rsidRPr="00325DD9">
        <w:rPr>
          <w:rFonts w:ascii="Times New Roman" w:hAnsi="Times New Roman" w:cs="Times New Roman"/>
          <w:sz w:val="24"/>
          <w:szCs w:val="24"/>
        </w:rPr>
        <w:t>используе</w:t>
      </w:r>
      <w:r w:rsidR="00514655">
        <w:rPr>
          <w:rFonts w:ascii="Times New Roman" w:hAnsi="Times New Roman" w:cs="Times New Roman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тушения </w:t>
      </w:r>
      <w:proofErr w:type="spellStart"/>
      <w:r w:rsidR="005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торфяных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имеющий аналогов, предназначен нести патрульную службу в пожароопасный период, где доступ</w:t>
      </w:r>
      <w:r w:rsidR="00AD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сильно затруднен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D92" w:rsidRDefault="00325DD9" w:rsidP="006478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1D7CFB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EB5A9E">
        <w:rPr>
          <w:rFonts w:ascii="Times New Roman" w:hAnsi="Times New Roman" w:cs="Times New Roman"/>
          <w:sz w:val="24"/>
          <w:szCs w:val="24"/>
        </w:rPr>
        <w:t xml:space="preserve">в конце сентября 2006 г.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9778A">
        <w:rPr>
          <w:rFonts w:ascii="Times New Roman" w:hAnsi="Times New Roman" w:cs="Times New Roman"/>
          <w:sz w:val="24"/>
          <w:szCs w:val="24"/>
        </w:rPr>
        <w:t xml:space="preserve">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DD9">
        <w:rPr>
          <w:rFonts w:ascii="Times New Roman" w:hAnsi="Times New Roman" w:cs="Times New Roman"/>
          <w:iCs/>
          <w:sz w:val="24"/>
          <w:szCs w:val="24"/>
        </w:rPr>
        <w:t>"Пожарная безопасность XXI века - 2006".</w:t>
      </w:r>
    </w:p>
    <w:p w:rsidR="001D7CFB" w:rsidRDefault="001D7CFB" w:rsidP="00325D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2310" w:rsidRPr="000C2310" w:rsidRDefault="000C2310" w:rsidP="00325D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310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="00325DD9" w:rsidRPr="000C2310">
        <w:rPr>
          <w:rFonts w:ascii="Times New Roman" w:hAnsi="Times New Roman" w:cs="Times New Roman"/>
          <w:i/>
          <w:sz w:val="24"/>
          <w:szCs w:val="24"/>
        </w:rPr>
        <w:t xml:space="preserve">https://www.abw.by/novosti/commercial/164401 </w:t>
      </w:r>
    </w:p>
    <w:p w:rsidR="00325DD9" w:rsidRPr="00325DD9" w:rsidRDefault="00325DD9" w:rsidP="0032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D9">
        <w:rPr>
          <w:rFonts w:ascii="Times New Roman" w:hAnsi="Times New Roman" w:cs="Times New Roman"/>
          <w:sz w:val="24"/>
          <w:szCs w:val="24"/>
        </w:rPr>
        <w:t>ООО "Каланча"</w:t>
      </w:r>
    </w:p>
    <w:p w:rsidR="00325DD9" w:rsidRPr="00325DD9" w:rsidRDefault="00325DD9" w:rsidP="0032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DD9">
        <w:rPr>
          <w:rFonts w:ascii="Times New Roman" w:hAnsi="Times New Roman" w:cs="Times New Roman"/>
          <w:sz w:val="24"/>
          <w:szCs w:val="24"/>
        </w:rPr>
        <w:t>Конструктор</w:t>
      </w:r>
      <w:proofErr w:type="gramStart"/>
      <w:r w:rsidRPr="00325DD9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325DD9">
        <w:rPr>
          <w:rFonts w:ascii="Times New Roman" w:hAnsi="Times New Roman" w:cs="Times New Roman"/>
          <w:sz w:val="24"/>
          <w:szCs w:val="24"/>
        </w:rPr>
        <w:t xml:space="preserve"> "Каланча" из Сергиева Посада превратили ульяновскую "Буханку" в автомобиль для тушения лесных пожаров. Индекс машины - АПЛТ-20(АНР-20). В арсенале АПЛТ-20(АНР-20) есть самовсасывающий насос ПН-20, лебедка для самовытаскивания, комплект торфяных стволов ТС-1М "Гидробур" и другое оборудование.</w:t>
      </w:r>
    </w:p>
    <w:p w:rsidR="00325DD9" w:rsidRDefault="000C2310" w:rsidP="0032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DD9" w:rsidRPr="00325DD9">
        <w:rPr>
          <w:rFonts w:ascii="Times New Roman" w:hAnsi="Times New Roman" w:cs="Times New Roman"/>
          <w:sz w:val="24"/>
          <w:szCs w:val="24"/>
        </w:rPr>
        <w:t xml:space="preserve">А как вы думаете, сколько воды вмещает резервуар этого </w:t>
      </w:r>
      <w:proofErr w:type="spellStart"/>
      <w:r w:rsidR="00325DD9" w:rsidRPr="00325DD9">
        <w:rPr>
          <w:rFonts w:ascii="Times New Roman" w:hAnsi="Times New Roman" w:cs="Times New Roman"/>
          <w:sz w:val="24"/>
          <w:szCs w:val="24"/>
        </w:rPr>
        <w:t>УАЗика</w:t>
      </w:r>
      <w:proofErr w:type="spellEnd"/>
      <w:r w:rsidR="00325DD9" w:rsidRPr="00325DD9">
        <w:rPr>
          <w:rFonts w:ascii="Times New Roman" w:hAnsi="Times New Roman" w:cs="Times New Roman"/>
          <w:sz w:val="24"/>
          <w:szCs w:val="24"/>
        </w:rPr>
        <w:t>? 12 тонн! Нет, это не ошибка. 12.000 литров. Правда, этот резервуар представляет собой "мешок" из полимерных материалов, который используется как выносная промежуточная емкость, которая разворачивается в местах с заболоченными берегами, когда машина не может вплотную подъехать к берегу водоема.</w:t>
      </w:r>
    </w:p>
    <w:p w:rsidR="00690374" w:rsidRPr="00514655" w:rsidRDefault="00690374" w:rsidP="003B0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4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https://sibpsa.ru/sis_pp/sr_br/nazem/view.php?code=7</w:t>
      </w:r>
    </w:p>
    <w:p w:rsidR="001A6FD9" w:rsidRPr="00A60213" w:rsidRDefault="001A6FD9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13">
        <w:rPr>
          <w:rFonts w:ascii="Times New Roman" w:hAnsi="Times New Roman" w:cs="Times New Roman"/>
          <w:sz w:val="24"/>
          <w:szCs w:val="24"/>
        </w:rPr>
        <w:t xml:space="preserve">Тушение </w:t>
      </w:r>
      <w:proofErr w:type="spellStart"/>
      <w:r w:rsidRPr="00A60213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Pr="00A60213">
        <w:rPr>
          <w:rFonts w:ascii="Times New Roman" w:hAnsi="Times New Roman" w:cs="Times New Roman"/>
          <w:sz w:val="24"/>
          <w:szCs w:val="24"/>
        </w:rPr>
        <w:t xml:space="preserve"> пожаров сопряжено с острым дефицитом воды (удалённость от водозаборов, труднопроходимая местность, потребность в прокачке больших объемов воды).</w:t>
      </w:r>
    </w:p>
    <w:p w:rsidR="001A6FD9" w:rsidRPr="00A60213" w:rsidRDefault="001A6FD9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13">
        <w:rPr>
          <w:rFonts w:ascii="Times New Roman" w:hAnsi="Times New Roman" w:cs="Times New Roman"/>
          <w:sz w:val="24"/>
          <w:szCs w:val="24"/>
        </w:rPr>
        <w:lastRenderedPageBreak/>
        <w:t>Применение основных пожарных автомобилей (пожарные автоцистерны) в лесу и на торфяниках объективно связано с ограничением технического характера – техника тяжелая и крупногабаритная, а местность, где она должна работать, – труднопроходима. Зачастую для пожарных автомобилей среднего и тяжелого классов она вообще не проходима.</w:t>
      </w:r>
    </w:p>
    <w:p w:rsidR="001A6FD9" w:rsidRPr="00A60213" w:rsidRDefault="001D7CFB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Для тушения </w:t>
      </w:r>
      <w:proofErr w:type="spellStart"/>
      <w:r w:rsidR="001A6FD9" w:rsidRPr="00A60213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="001A6FD9" w:rsidRPr="00A60213">
        <w:rPr>
          <w:rFonts w:ascii="Times New Roman" w:hAnsi="Times New Roman" w:cs="Times New Roman"/>
          <w:sz w:val="24"/>
          <w:szCs w:val="24"/>
        </w:rPr>
        <w:t xml:space="preserve"> пожаров необходим автомобиль легкого класса со специальным</w:t>
      </w:r>
      <w:r w:rsidR="00F97DD8">
        <w:rPr>
          <w:rFonts w:ascii="Times New Roman" w:hAnsi="Times New Roman" w:cs="Times New Roman"/>
          <w:sz w:val="24"/>
          <w:szCs w:val="24"/>
        </w:rPr>
        <w:t>и техническими характеристиками. Этим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 требованиям отвечает п</w:t>
      </w:r>
      <w:r w:rsidR="001A6FD9">
        <w:rPr>
          <w:rFonts w:ascii="Times New Roman" w:hAnsi="Times New Roman" w:cs="Times New Roman"/>
          <w:sz w:val="24"/>
          <w:szCs w:val="24"/>
        </w:rPr>
        <w:t>ожарный автомобиль АН</w:t>
      </w:r>
      <w:proofErr w:type="gramStart"/>
      <w:r w:rsidR="001A6FD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1A6FD9">
        <w:rPr>
          <w:rFonts w:ascii="Times New Roman" w:hAnsi="Times New Roman" w:cs="Times New Roman"/>
          <w:sz w:val="24"/>
          <w:szCs w:val="24"/>
        </w:rPr>
        <w:t>Л)-20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 на базе цельнометаллическо</w:t>
      </w:r>
      <w:r w:rsidR="001A6FD9">
        <w:rPr>
          <w:rFonts w:ascii="Times New Roman" w:hAnsi="Times New Roman" w:cs="Times New Roman"/>
          <w:sz w:val="24"/>
          <w:szCs w:val="24"/>
        </w:rPr>
        <w:t>го фургона УАЗ-3909</w:t>
      </w:r>
      <w:r w:rsidR="001A6FD9" w:rsidRPr="00A60213">
        <w:rPr>
          <w:rFonts w:ascii="Times New Roman" w:hAnsi="Times New Roman" w:cs="Times New Roman"/>
          <w:sz w:val="24"/>
          <w:szCs w:val="24"/>
        </w:rPr>
        <w:t>, принципиальная новизна которого состоит в том, что автомобиль легкого класса оснащен собственным пожарным насосом, а комплект пожарно-технического вооружения составлен с учетом специфики тушения торфяных и лесных пожаров.</w:t>
      </w:r>
    </w:p>
    <w:p w:rsidR="001A6FD9" w:rsidRDefault="00F97DD8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FD9" w:rsidRPr="00A60213">
        <w:rPr>
          <w:rFonts w:ascii="Times New Roman" w:hAnsi="Times New Roman" w:cs="Times New Roman"/>
          <w:sz w:val="24"/>
          <w:szCs w:val="24"/>
        </w:rPr>
        <w:t>По</w:t>
      </w:r>
      <w:r w:rsidR="001A6FD9">
        <w:rPr>
          <w:rFonts w:ascii="Times New Roman" w:hAnsi="Times New Roman" w:cs="Times New Roman"/>
          <w:sz w:val="24"/>
          <w:szCs w:val="24"/>
        </w:rPr>
        <w:t>скольку АН</w:t>
      </w:r>
      <w:proofErr w:type="gramStart"/>
      <w:r w:rsidR="001A6FD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1A6FD9">
        <w:rPr>
          <w:rFonts w:ascii="Times New Roman" w:hAnsi="Times New Roman" w:cs="Times New Roman"/>
          <w:sz w:val="24"/>
          <w:szCs w:val="24"/>
        </w:rPr>
        <w:t>Л)-20(УАЗ-3909</w:t>
      </w:r>
      <w:r w:rsidR="001A6FD9" w:rsidRPr="00A60213">
        <w:rPr>
          <w:rFonts w:ascii="Times New Roman" w:hAnsi="Times New Roman" w:cs="Times New Roman"/>
          <w:sz w:val="24"/>
          <w:szCs w:val="24"/>
        </w:rPr>
        <w:t>) является автомобилем легкого класса, конструкция и грузоподъемность не позволяют разместить в нём цистерну для воды.</w:t>
      </w:r>
      <w:r w:rsidR="00207C19">
        <w:rPr>
          <w:rFonts w:ascii="Times New Roman" w:hAnsi="Times New Roman" w:cs="Times New Roman"/>
          <w:sz w:val="24"/>
          <w:szCs w:val="24"/>
        </w:rPr>
        <w:t xml:space="preserve"> </w:t>
      </w:r>
      <w:r w:rsidR="001A6FD9" w:rsidRPr="00A6021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1A6FD9" w:rsidRPr="00A602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6FD9" w:rsidRPr="00A60213">
        <w:rPr>
          <w:rFonts w:ascii="Times New Roman" w:hAnsi="Times New Roman" w:cs="Times New Roman"/>
          <w:sz w:val="24"/>
          <w:szCs w:val="24"/>
        </w:rPr>
        <w:t xml:space="preserve"> чтобы данный автомобиль можно было отнести к полнофункциональному пожарному автомобилю, он комплектуется полимерным эластичным резервуаром ПЭР-8</w:t>
      </w:r>
      <w:r w:rsidR="001A6FD9">
        <w:rPr>
          <w:rFonts w:ascii="Times New Roman" w:hAnsi="Times New Roman" w:cs="Times New Roman"/>
          <w:sz w:val="24"/>
          <w:szCs w:val="24"/>
        </w:rPr>
        <w:t>/12</w:t>
      </w:r>
      <w:r w:rsidR="001A6FD9" w:rsidRPr="00A60213">
        <w:rPr>
          <w:rFonts w:ascii="Times New Roman" w:hAnsi="Times New Roman" w:cs="Times New Roman"/>
          <w:sz w:val="24"/>
          <w:szCs w:val="24"/>
        </w:rPr>
        <w:t>, который расстилается на земле в месте проведения работ и заполняется водой (8</w:t>
      </w:r>
      <w:r w:rsidR="001A6FD9">
        <w:rPr>
          <w:rFonts w:ascii="Times New Roman" w:hAnsi="Times New Roman" w:cs="Times New Roman"/>
          <w:sz w:val="24"/>
          <w:szCs w:val="24"/>
        </w:rPr>
        <w:t>-12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 т) пожарным насосом автомобиля.</w:t>
      </w:r>
    </w:p>
    <w:p w:rsidR="00B561C6" w:rsidRDefault="001A6FD9" w:rsidP="003B03E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автомобили легкого класса АН</w:t>
      </w:r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л)-20-330 и АНР(л)-20-660, на </w:t>
      </w:r>
      <w:r w:rsid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базового шасси УАЗ-3909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тушения пожаров в лесах и населенных пунктах. Второе поколение (АН</w:t>
      </w:r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л)-20-660) отличается от первого, прежде всего более мощной мотопомпой, а также тем, что всасывающие рукава были убраны из пеналов, а стали укладываться полукругом в специальном багажнике на крыше машины, не выступая за габариты.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Данный пожарный автомобиль – это внедорожник, оснащенный оборудованием для ликвидации лесных и торфяных пожаров, предназначенный, кроме того, нести патрульную службу в пожароопасный период в труднопроходимых местах.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Машина обладает хорошей маневренностью и высокой проходимостью. У автомобиля имеются также дополнительные технические возможности по преодолению препятствий – он комплектуется «</w:t>
      </w:r>
      <w:proofErr w:type="spell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сэндтраками</w:t>
      </w:r>
      <w:proofErr w:type="spell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(металлическими настилами) и оснащен электромеханической лебедкой (тяговое усилие 5 т, длина троса 25 м). Эти устройства особенно важны в случаях, когда очаги пожаров в лесу и на торфяниках изолированы от основных дорог водными преградами и топкими местами.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Известно, что традиционные способы борьбы с торфяными пожарами малоэффективны при поверхностном, а тем более, глубинном горении торфа, и связаны с большими расходами воды. Для решения данных проблем модификация АНР (л)-20-330 применяемая для борьбы с торфяными пожарами, оснащается торфяными стволами ТС-1М "Гидробур". Кроме того, на насос ПН-20, установленный на машине, оборудован автоматической вакуумной системой </w:t>
      </w:r>
      <w:proofErr w:type="spell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водозаполнения</w:t>
      </w:r>
      <w:proofErr w:type="spell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rimatic</w:t>
      </w:r>
      <w:proofErr w:type="spell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Появление пожарной машины легкого класса с насосом, обеспечивает решение задачи по подаче воды в труднодоступные места, при тушении лесных и торфяных пожаров по принципу, называемому в пожарном деле как «работа в перекачку». Это когда две машины ставятся на значительном расстоянии друг от друга, при этом одна находится у водоема и работает как насосная станция, а вторая – у очага возгорания и работает, собственно, как пожарная машина. А если учесть, что автомобиль АН</w:t>
      </w:r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л)-20-330 оснащен мягкой емкостью, вмещающей 12 тонн воды, то тушение пожара и перекачку воды можно осуществить одним автомобилем: накачав воду в емкость, автомобиль перегоняется к месту пожара и</w:t>
      </w:r>
      <w:r w:rsidR="00B561C6" w:rsidRPr="005D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работать как пожарный автомобиль.</w:t>
      </w:r>
    </w:p>
    <w:p w:rsidR="00B561C6" w:rsidRPr="00B561C6" w:rsidRDefault="00B561C6" w:rsidP="003B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8"/>
        <w:gridCol w:w="3553"/>
        <w:gridCol w:w="1716"/>
      </w:tblGrid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УАЗ-3909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4х4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боевого расчёта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 (</w:t>
            </w:r>
            <w:proofErr w:type="spell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 (84)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эластичного резервуара для воды,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</w:t>
            </w:r>
            <w:proofErr w:type="spell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пенобака</w:t>
            </w:r>
            <w:proofErr w:type="spell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пожарного насоса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создаваемый пожарным насосом в номинальном режиме,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насоса, л/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подачи воды (перекачка через АПЛТ-20), м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E026F" w:rsidRPr="00B561C6" w:rsidTr="003E026F">
        <w:trPr>
          <w:trHeight w:val="343"/>
          <w:jc w:val="center"/>
        </w:trPr>
        <w:tc>
          <w:tcPr>
            <w:tcW w:w="0" w:type="auto"/>
            <w:gridSpan w:val="2"/>
            <w:hideMark/>
          </w:tcPr>
          <w:p w:rsidR="003E026F" w:rsidRPr="00B561C6" w:rsidRDefault="003E026F" w:rsidP="003E0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длина ширина высота,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0" w:type="auto"/>
            <w:hideMark/>
          </w:tcPr>
          <w:p w:rsidR="003E026F" w:rsidRPr="00B561C6" w:rsidRDefault="003E026F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3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автомобиля (ПТВ, инструмент)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Мотопомпа </w:t>
            </w:r>
            <w:proofErr w:type="spellStart"/>
            <w:r w:rsidR="00FB0861" w:rsidRP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Robin</w:t>
            </w:r>
            <w:proofErr w:type="spellEnd"/>
            <w:r w:rsidR="00FB0861" w:rsidRP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0861" w:rsidRP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</w:t>
            </w:r>
            <w:proofErr w:type="spellEnd"/>
            <w:r w:rsid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PTG-307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32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для воды ПЭР-12000 (12000 литров)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vMerge w:val="restart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всасывающие с арматурой: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100 мм, длиной 4 м;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мм, длиной 4 м.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vMerge w:val="restart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напорные с арматурой: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мм;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мм;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мм, длиной 4 м;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мм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vMerge w:val="restart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пожарные: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СРК-50;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РС-70;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 ТС-1М "Гидробур";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насадка удлинительная;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разводная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переходные ГП-50х70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переходные ГП-80х70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КПА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для открывания крышек гидранта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32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Водосборник ВС-125 с адаптером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пены ГПС-600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К-80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К-150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Разветвление РТ-70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СВ-100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СВ-80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ранцевый РЛО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спасательная ВПС-30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 разборный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палка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двуручная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групповой ФОС 5/6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32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к ФОС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ОП-4 (з)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61BA" w:rsidRPr="00B561C6" w:rsidTr="003B03E6">
        <w:trPr>
          <w:trHeight w:val="314"/>
          <w:jc w:val="center"/>
        </w:trPr>
        <w:tc>
          <w:tcPr>
            <w:tcW w:w="0" w:type="auto"/>
            <w:gridSpan w:val="2"/>
          </w:tcPr>
          <w:p w:rsidR="00B461BA" w:rsidRPr="00B561C6" w:rsidRDefault="00AF08F5" w:rsidP="001D1DDE">
            <w:pPr>
              <w:kinsoku w:val="0"/>
              <w:overflowPunct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лектромеханическая лебёдка</w:t>
            </w:r>
            <w:r w:rsidR="00B461BA" w:rsidRPr="00B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тяговое усилие 5 тонн,</w:t>
            </w:r>
            <w:r w:rsidR="001D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BA" w:rsidRPr="00B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троса 25 м.</w:t>
            </w:r>
          </w:p>
        </w:tc>
        <w:tc>
          <w:tcPr>
            <w:tcW w:w="0" w:type="auto"/>
          </w:tcPr>
          <w:p w:rsidR="00B461BA" w:rsidRPr="00B561C6" w:rsidRDefault="00B461BA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ind w:hanging="2194"/>
        <w:outlineLvl w:val="0"/>
        <w:rPr>
          <w:rFonts w:ascii="Times New Roman" w:hAnsi="Times New Roman" w:cs="Times New Roman"/>
          <w:b/>
          <w:bCs/>
          <w:color w:val="7F0000"/>
          <w:sz w:val="24"/>
          <w:szCs w:val="24"/>
        </w:rPr>
      </w:pPr>
      <w:bookmarkStart w:id="1" w:name="Страница_18"/>
      <w:bookmarkEnd w:id="1"/>
    </w:p>
    <w:p w:rsidR="00090AFF" w:rsidRPr="00090AFF" w:rsidRDefault="0064785D" w:rsidP="003B03E6">
      <w:pPr>
        <w:tabs>
          <w:tab w:val="left" w:pos="0"/>
          <w:tab w:val="left" w:pos="75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F0000"/>
          <w:sz w:val="24"/>
          <w:szCs w:val="24"/>
        </w:rPr>
        <w:t>Т</w:t>
      </w:r>
      <w:r w:rsidR="00090AFF" w:rsidRPr="00090AFF">
        <w:rPr>
          <w:rFonts w:ascii="Times New Roman" w:hAnsi="Times New Roman" w:cs="Times New Roman"/>
          <w:b/>
          <w:bCs/>
          <w:color w:val="7F0000"/>
          <w:sz w:val="24"/>
          <w:szCs w:val="24"/>
        </w:rPr>
        <w:t xml:space="preserve">ехнические характеристики и </w:t>
      </w:r>
      <w:r w:rsidR="00090AFF">
        <w:rPr>
          <w:rFonts w:ascii="Times New Roman" w:hAnsi="Times New Roman" w:cs="Times New Roman"/>
          <w:b/>
          <w:bCs/>
          <w:color w:val="7F0000"/>
          <w:sz w:val="24"/>
          <w:szCs w:val="24"/>
        </w:rPr>
        <w:t>д</w:t>
      </w:r>
      <w:r w:rsidR="00090AFF" w:rsidRPr="00090AFF">
        <w:rPr>
          <w:rFonts w:ascii="Times New Roman" w:hAnsi="Times New Roman" w:cs="Times New Roman"/>
          <w:b/>
          <w:bCs/>
          <w:color w:val="7F0000"/>
          <w:sz w:val="24"/>
          <w:szCs w:val="24"/>
        </w:rPr>
        <w:t>ополнительное оборудование:</w:t>
      </w:r>
    </w:p>
    <w:p w:rsidR="00123DC5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(колесная формула 44) УАЗ -390995 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Полная масса,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2 820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мест, чел 4</w:t>
      </w:r>
    </w:p>
    <w:p w:rsidR="00123DC5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двигателя, кВт (</w:t>
      </w:r>
      <w:proofErr w:type="spell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61,8 (84) 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/ч 90</w:t>
      </w:r>
    </w:p>
    <w:p w:rsidR="00123DC5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пожарного насоса ПН-20 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насоса, м</w:t>
      </w:r>
      <w:r w:rsidR="002250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22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(л/с) 72 (20)</w:t>
      </w:r>
    </w:p>
    <w:p w:rsidR="00090AFF" w:rsidRPr="00090AFF" w:rsidRDefault="002250E1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</w:p>
    <w:p w:rsidR="00123DC5" w:rsidRDefault="00090AFF" w:rsidP="003B03E6">
      <w:pPr>
        <w:tabs>
          <w:tab w:val="left" w:pos="100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всасывания,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7,5 </w:t>
      </w:r>
    </w:p>
    <w:p w:rsidR="00090AFF" w:rsidRPr="00090AFF" w:rsidRDefault="00090AFF" w:rsidP="003B03E6">
      <w:pPr>
        <w:tabs>
          <w:tab w:val="left" w:pos="100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АПЛТ-20 в "перекачку" (дальность перекачки),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 полимерного эластичного</w:t>
      </w:r>
      <w:r w:rsidR="001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 для воды, м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(л) 12,0(12000)</w:t>
      </w:r>
    </w:p>
    <w:p w:rsid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proofErr w:type="spell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пенобака</w:t>
      </w:r>
      <w:proofErr w:type="spell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123D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(л) 0,07(70)</w:t>
      </w:r>
    </w:p>
    <w:p w:rsidR="00B461BA" w:rsidRPr="00090AFF" w:rsidRDefault="00123DC5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лектромеханическая лебёдка</w:t>
      </w:r>
      <w:r w:rsidR="00B461BA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тяговое усилие 5 тонн, длина троса 25 м.</w:t>
      </w:r>
    </w:p>
    <w:p w:rsidR="00BF7929" w:rsidRPr="005D7D67" w:rsidRDefault="00123DC5" w:rsidP="001D0CD4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7F0000"/>
          <w:w w:val="85"/>
          <w:sz w:val="24"/>
          <w:szCs w:val="24"/>
        </w:rPr>
        <w:t xml:space="preserve"> </w:t>
      </w:r>
      <w:r w:rsidR="001D0CD4">
        <w:t xml:space="preserve"> </w:t>
      </w:r>
    </w:p>
    <w:p w:rsidR="005D7D67" w:rsidRPr="00B561C6" w:rsidRDefault="005D7D67" w:rsidP="003B0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7D67" w:rsidRPr="00B561C6" w:rsidSect="009B3B8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7488" w:hanging="71"/>
      </w:pPr>
      <w:rPr>
        <w:rFonts w:ascii="Times New Roman" w:hAnsi="Times New Roman" w:cs="Times New Roman"/>
        <w:b w:val="0"/>
        <w:bCs w:val="0"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left="7971" w:hanging="71"/>
      </w:pPr>
    </w:lvl>
    <w:lvl w:ilvl="2">
      <w:numFmt w:val="bullet"/>
      <w:lvlText w:val="•"/>
      <w:lvlJc w:val="left"/>
      <w:pPr>
        <w:ind w:left="8463" w:hanging="71"/>
      </w:pPr>
    </w:lvl>
    <w:lvl w:ilvl="3">
      <w:numFmt w:val="bullet"/>
      <w:lvlText w:val="•"/>
      <w:lvlJc w:val="left"/>
      <w:pPr>
        <w:ind w:left="8955" w:hanging="71"/>
      </w:pPr>
    </w:lvl>
    <w:lvl w:ilvl="4">
      <w:numFmt w:val="bullet"/>
      <w:lvlText w:val="•"/>
      <w:lvlJc w:val="left"/>
      <w:pPr>
        <w:ind w:left="9447" w:hanging="71"/>
      </w:pPr>
    </w:lvl>
    <w:lvl w:ilvl="5">
      <w:numFmt w:val="bullet"/>
      <w:lvlText w:val="•"/>
      <w:lvlJc w:val="left"/>
      <w:pPr>
        <w:ind w:left="9938" w:hanging="71"/>
      </w:pPr>
    </w:lvl>
    <w:lvl w:ilvl="6">
      <w:numFmt w:val="bullet"/>
      <w:lvlText w:val="•"/>
      <w:lvlJc w:val="left"/>
      <w:pPr>
        <w:ind w:left="10430" w:hanging="71"/>
      </w:pPr>
    </w:lvl>
    <w:lvl w:ilvl="7">
      <w:numFmt w:val="bullet"/>
      <w:lvlText w:val="•"/>
      <w:lvlJc w:val="left"/>
      <w:pPr>
        <w:ind w:left="10922" w:hanging="71"/>
      </w:pPr>
    </w:lvl>
    <w:lvl w:ilvl="8">
      <w:numFmt w:val="bullet"/>
      <w:lvlText w:val="•"/>
      <w:lvlJc w:val="left"/>
      <w:pPr>
        <w:ind w:left="11414" w:hanging="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2"/>
    <w:rsid w:val="00014CDC"/>
    <w:rsid w:val="00090AFF"/>
    <w:rsid w:val="000B7B00"/>
    <w:rsid w:val="000C2310"/>
    <w:rsid w:val="000C2AD8"/>
    <w:rsid w:val="000E5ABB"/>
    <w:rsid w:val="00123DC5"/>
    <w:rsid w:val="0014041B"/>
    <w:rsid w:val="00187729"/>
    <w:rsid w:val="001A6FD9"/>
    <w:rsid w:val="001D0CD4"/>
    <w:rsid w:val="001D1DDE"/>
    <w:rsid w:val="001D7CFB"/>
    <w:rsid w:val="001E5322"/>
    <w:rsid w:val="00207C19"/>
    <w:rsid w:val="002250E1"/>
    <w:rsid w:val="00241EE6"/>
    <w:rsid w:val="00325DD9"/>
    <w:rsid w:val="003A52E0"/>
    <w:rsid w:val="003B03E6"/>
    <w:rsid w:val="003E026F"/>
    <w:rsid w:val="00514655"/>
    <w:rsid w:val="0052150E"/>
    <w:rsid w:val="005722D9"/>
    <w:rsid w:val="005D7D67"/>
    <w:rsid w:val="005E2F80"/>
    <w:rsid w:val="0064785D"/>
    <w:rsid w:val="00690374"/>
    <w:rsid w:val="00764C07"/>
    <w:rsid w:val="007B6110"/>
    <w:rsid w:val="00840FBA"/>
    <w:rsid w:val="00867D92"/>
    <w:rsid w:val="008D7C3F"/>
    <w:rsid w:val="008F39D7"/>
    <w:rsid w:val="009B3B8A"/>
    <w:rsid w:val="00A46CD6"/>
    <w:rsid w:val="00A74781"/>
    <w:rsid w:val="00A9778A"/>
    <w:rsid w:val="00AD20DF"/>
    <w:rsid w:val="00AF08F5"/>
    <w:rsid w:val="00B1180F"/>
    <w:rsid w:val="00B461BA"/>
    <w:rsid w:val="00B561C6"/>
    <w:rsid w:val="00BF7929"/>
    <w:rsid w:val="00CA5512"/>
    <w:rsid w:val="00DB01DA"/>
    <w:rsid w:val="00DC761F"/>
    <w:rsid w:val="00E32489"/>
    <w:rsid w:val="00E64468"/>
    <w:rsid w:val="00EB5A9E"/>
    <w:rsid w:val="00F71B6B"/>
    <w:rsid w:val="00F97DD8"/>
    <w:rsid w:val="00F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90AFF"/>
    <w:pPr>
      <w:autoSpaceDE w:val="0"/>
      <w:autoSpaceDN w:val="0"/>
      <w:adjustRightInd w:val="0"/>
      <w:spacing w:after="0" w:line="240" w:lineRule="auto"/>
      <w:ind w:left="2193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2">
    <w:name w:val="header2"/>
    <w:basedOn w:val="a0"/>
    <w:rsid w:val="005D7D67"/>
  </w:style>
  <w:style w:type="character" w:customStyle="1" w:styleId="10">
    <w:name w:val="Заголовок 1 Знак"/>
    <w:basedOn w:val="a0"/>
    <w:link w:val="1"/>
    <w:uiPriority w:val="1"/>
    <w:rsid w:val="00090AF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90AFF"/>
    <w:pPr>
      <w:autoSpaceDE w:val="0"/>
      <w:autoSpaceDN w:val="0"/>
      <w:adjustRightInd w:val="0"/>
      <w:spacing w:after="0" w:line="240" w:lineRule="auto"/>
      <w:ind w:left="429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90AFF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1"/>
    <w:qFormat/>
    <w:rsid w:val="00090AFF"/>
    <w:pPr>
      <w:autoSpaceDE w:val="0"/>
      <w:autoSpaceDN w:val="0"/>
      <w:adjustRightInd w:val="0"/>
      <w:spacing w:before="10" w:after="0" w:line="240" w:lineRule="auto"/>
      <w:ind w:left="7488" w:hanging="71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25D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7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90AFF"/>
    <w:pPr>
      <w:autoSpaceDE w:val="0"/>
      <w:autoSpaceDN w:val="0"/>
      <w:adjustRightInd w:val="0"/>
      <w:spacing w:after="0" w:line="240" w:lineRule="auto"/>
      <w:ind w:left="2193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2">
    <w:name w:val="header2"/>
    <w:basedOn w:val="a0"/>
    <w:rsid w:val="005D7D67"/>
  </w:style>
  <w:style w:type="character" w:customStyle="1" w:styleId="10">
    <w:name w:val="Заголовок 1 Знак"/>
    <w:basedOn w:val="a0"/>
    <w:link w:val="1"/>
    <w:uiPriority w:val="1"/>
    <w:rsid w:val="00090AF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90AFF"/>
    <w:pPr>
      <w:autoSpaceDE w:val="0"/>
      <w:autoSpaceDN w:val="0"/>
      <w:adjustRightInd w:val="0"/>
      <w:spacing w:after="0" w:line="240" w:lineRule="auto"/>
      <w:ind w:left="429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90AFF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1"/>
    <w:qFormat/>
    <w:rsid w:val="00090AFF"/>
    <w:pPr>
      <w:autoSpaceDE w:val="0"/>
      <w:autoSpaceDN w:val="0"/>
      <w:adjustRightInd w:val="0"/>
      <w:spacing w:before="10" w:after="0" w:line="240" w:lineRule="auto"/>
      <w:ind w:left="7488" w:hanging="71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25D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7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AFA2-9B1D-4E42-B8AB-447F66D6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2018-09-29T12:59:00Z</dcterms:created>
  <dcterms:modified xsi:type="dcterms:W3CDTF">2022-04-04T12:26:00Z</dcterms:modified>
</cp:coreProperties>
</file>