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2F" w:rsidRPr="00D0682F" w:rsidRDefault="008C1E5B" w:rsidP="008C1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fldChar w:fldCharType="begin"/>
      </w:r>
      <w:r>
        <w:instrText xml:space="preserve"> HYPERLINK "http://truck-auto.info/category/bedford" </w:instrText>
      </w:r>
      <w:r>
        <w:fldChar w:fldCharType="separate"/>
      </w:r>
      <w:proofErr w:type="spellStart"/>
      <w:r w:rsidR="00D0682F" w:rsidRPr="00D0682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Bedford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fldChar w:fldCharType="end"/>
      </w:r>
      <w:r w:rsidR="00D0682F" w:rsidRPr="00D0682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» OXD</w:t>
      </w:r>
    </w:p>
    <w:p w:rsidR="00D0682F" w:rsidRPr="00D0682F" w:rsidRDefault="008C1E5B" w:rsidP="008C1E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5" w:history="1">
        <w:r w:rsidR="00D0682F" w:rsidRPr="00D0682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Евгений Смольников </w:t>
        </w:r>
      </w:hyperlink>
      <w:r w:rsidR="00D0682F" w:rsidRPr="00D0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17.08.2010   </w:t>
      </w:r>
    </w:p>
    <w:p w:rsidR="00D0682F" w:rsidRPr="00D0682F" w:rsidRDefault="008C1E5B" w:rsidP="008C1E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82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A524F33" wp14:editId="22B52D3F">
            <wp:simplePos x="0" y="0"/>
            <wp:positionH relativeFrom="margin">
              <wp:posOffset>-53975</wp:posOffset>
            </wp:positionH>
            <wp:positionV relativeFrom="margin">
              <wp:posOffset>516890</wp:posOffset>
            </wp:positionV>
            <wp:extent cx="3568700" cy="2676525"/>
            <wp:effectExtent l="0" t="0" r="0" b="9525"/>
            <wp:wrapSquare wrapText="bothSides"/>
            <wp:docPr id="2" name="Рисунок 2" descr="OX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X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82F" w:rsidRPr="00D0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Грузовой автомобиль армейского типа </w:t>
      </w:r>
      <w:proofErr w:type="spellStart"/>
      <w:r w:rsidR="00D0682F" w:rsidRPr="00D0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Bedford</w:t>
      </w:r>
      <w:proofErr w:type="spellEnd"/>
      <w:r w:rsidR="00D0682F" w:rsidRPr="00D0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OXD 30-cwt 4×2 </w:t>
      </w:r>
      <w:proofErr w:type="spellStart"/>
      <w:r w:rsidR="00D0682F" w:rsidRPr="00D0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General</w:t>
      </w:r>
      <w:proofErr w:type="spellEnd"/>
      <w:r w:rsidR="00D0682F" w:rsidRPr="00D0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0682F" w:rsidRPr="00D0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Servise</w:t>
      </w:r>
      <w:proofErr w:type="spellEnd"/>
      <w:r w:rsidR="00D0682F" w:rsidRPr="00D0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предназначался для перевозки людей и грузов. OXD имели двухместную металлическую кабину закрытого типа. Большинство машин оснащалось металлической </w:t>
      </w:r>
      <w:proofErr w:type="spellStart"/>
      <w:r w:rsidR="00D0682F" w:rsidRPr="00D0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тентованной</w:t>
      </w:r>
      <w:proofErr w:type="spellEnd"/>
      <w:r w:rsidR="00D0682F" w:rsidRPr="00D0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грузовой платформой с деревянным откидным задним бортом. Деревянные кузова были настолько редки, что, возможно, это было на фабричное производство, а реконструкция поврежденных автомобилей в полевых мастерских.</w:t>
      </w:r>
    </w:p>
    <w:p w:rsidR="00D0682F" w:rsidRPr="00D0682F" w:rsidRDefault="00D0682F" w:rsidP="008C1E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0682F" w:rsidRPr="00D0682F" w:rsidRDefault="00D0682F" w:rsidP="008C1E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82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385804B" wp14:editId="339767BB">
            <wp:simplePos x="0" y="0"/>
            <wp:positionH relativeFrom="margin">
              <wp:posOffset>-50800</wp:posOffset>
            </wp:positionH>
            <wp:positionV relativeFrom="margin">
              <wp:posOffset>3200400</wp:posOffset>
            </wp:positionV>
            <wp:extent cx="3568700" cy="2676525"/>
            <wp:effectExtent l="0" t="0" r="0" b="9525"/>
            <wp:wrapSquare wrapText="bothSides"/>
            <wp:docPr id="4" name="Рисунок 4" descr="OX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X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грузовике устанавливались шести цилиндровые четырехтактные карбюраторные верхнеклапанные рядные двигатели «</w:t>
      </w:r>
      <w:proofErr w:type="spellStart"/>
      <w:r w:rsidRPr="00D0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Bedford</w:t>
      </w:r>
      <w:proofErr w:type="spellEnd"/>
      <w:r w:rsidRPr="00D0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мощностью 72 лошадиные силы при 3000об/мин и объемом 3919 </w:t>
      </w:r>
      <w:proofErr w:type="spellStart"/>
      <w:r w:rsidRPr="00D0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</w:t>
      </w:r>
      <w:r w:rsidRPr="00D0682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з</w:t>
      </w:r>
      <w:proofErr w:type="spellEnd"/>
      <w:r w:rsidRPr="00D0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топливо подавалось диафрагменным насосом из двух баков суммарной емкостью 110 литров, располагающихся под кузовом по обеим сторонам рамы. Карбюратор </w:t>
      </w:r>
      <w:proofErr w:type="spellStart"/>
      <w:r w:rsidRPr="00D0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Solex</w:t>
      </w:r>
      <w:proofErr w:type="spellEnd"/>
      <w:r w:rsidRPr="00D0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35RZFJ опрокинутого типа имел регулятор максимальных оборотов и устройство для пуска двигателя в холодное время года.</w:t>
      </w:r>
    </w:p>
    <w:p w:rsidR="00D0682F" w:rsidRPr="00D0682F" w:rsidRDefault="008C1E5B" w:rsidP="008C1E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0682F" w:rsidRPr="00D0682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2734A66" wp14:editId="2BFA0040">
            <wp:simplePos x="0" y="0"/>
            <wp:positionH relativeFrom="margin">
              <wp:posOffset>-48260</wp:posOffset>
            </wp:positionH>
            <wp:positionV relativeFrom="margin">
              <wp:posOffset>5874385</wp:posOffset>
            </wp:positionV>
            <wp:extent cx="3556000" cy="2667000"/>
            <wp:effectExtent l="0" t="0" r="6350" b="0"/>
            <wp:wrapSquare wrapText="bothSides"/>
            <wp:docPr id="3" name="Рисунок 3" descr="OX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X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82F" w:rsidRPr="00D0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Смазка двигателя смешанной — под давлением и разбрызгиванием. Охлаждение жидкостное, с принудительной циркуляцией от центробежного насоса, смонтированного на одном валу вместе с четырех лопастным вентилятором. Радиатор трубчатого типа. Для быстрого прогрева рабочей смеси в выхлопном коллекторе находится термостат, регулировавший подогрев всасывающего коллектора. На некоторых автомобилях, кроме того, имелся термостат в системе охлаждения.</w:t>
      </w:r>
    </w:p>
    <w:p w:rsidR="00D0682F" w:rsidRPr="00D0682F" w:rsidRDefault="008C1E5B" w:rsidP="008C1E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0682F" w:rsidRPr="00D0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Сцепление </w:t>
      </w:r>
      <w:proofErr w:type="gramStart"/>
      <w:r w:rsidR="00D0682F" w:rsidRPr="00D0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одно-дисковое</w:t>
      </w:r>
      <w:proofErr w:type="gramEnd"/>
      <w:r w:rsidR="00D0682F" w:rsidRPr="00D0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сухое. Коробка передач механическая, четырехскоростная (4+1). На коробке передач имелся компрессор для накачивания шин. Крутящий момент на задний ведущий мост передавался карданным валом с универсальными шарнирами «</w:t>
      </w:r>
      <w:proofErr w:type="spellStart"/>
      <w:r w:rsidR="00D0682F" w:rsidRPr="00D0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Спайсер</w:t>
      </w:r>
      <w:proofErr w:type="spellEnd"/>
      <w:r w:rsidR="00D0682F" w:rsidRPr="00D0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на игольчатых подшипниках. Главная передача заднего моста состояла из двух конических шестерен и конического дифференциала. Полуоси были полностью разгруженного типа. Передний мост — управляемый, обычной конструкции. Рессоры продольные, полуэллиптические. Рулевое управление с правой стороны.</w:t>
      </w:r>
    </w:p>
    <w:p w:rsidR="00D0682F" w:rsidRPr="00D0682F" w:rsidRDefault="00D0682F" w:rsidP="008C1E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682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0E85EE2" wp14:editId="5D8CD074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2844800" cy="2133600"/>
            <wp:effectExtent l="0" t="0" r="0" b="0"/>
            <wp:wrapSquare wrapText="bothSides"/>
            <wp:docPr id="1" name="Рисунок 1" descr="OX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XD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0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Машина оснащалась колодочными тормозами с гидравлическим приводом и вакуумным усилителем. Шины всех колес односкатные, камерные, с развитыми </w:t>
      </w:r>
      <w:proofErr w:type="spellStart"/>
      <w:r w:rsidRPr="00D0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грунтозацепами</w:t>
      </w:r>
      <w:proofErr w:type="spellEnd"/>
      <w:r w:rsidRPr="00D0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 называемого тяжелого образца размером 10,50-16. Колея передних колес составляла 1600 мм</w:t>
      </w:r>
      <w:proofErr w:type="gramStart"/>
      <w:r w:rsidRPr="00D0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</w:t>
      </w:r>
      <w:proofErr w:type="gramEnd"/>
      <w:r w:rsidRPr="00D0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задних 1588 мм., база 2820 миллиметров. Машина комплектовалась цепями противоскольжения. Полная масса автомобиля без груза составляла 2850 килограмм. Из проведенного описания видно, что «</w:t>
      </w:r>
      <w:proofErr w:type="spellStart"/>
      <w:r w:rsidRPr="00D0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Bedford</w:t>
      </w:r>
      <w:proofErr w:type="spellEnd"/>
      <w:r w:rsidRPr="00D06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совершенную для своего времени конструкцию. Они выпускались не только в варианте бортового грузовика, но и в вариантах автоцистерны, санитарном, подвижной мастерской, штабного фургона.</w:t>
      </w:r>
    </w:p>
    <w:p w:rsidR="000E5ABB" w:rsidRPr="00D0682F" w:rsidRDefault="000E5ABB" w:rsidP="008C1E5B">
      <w:pPr>
        <w:spacing w:after="0" w:line="240" w:lineRule="auto"/>
        <w:rPr>
          <w:color w:val="000000" w:themeColor="text1"/>
        </w:rPr>
      </w:pPr>
    </w:p>
    <w:sectPr w:rsidR="000E5ABB" w:rsidRPr="00D0682F" w:rsidSect="00D0682F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7A"/>
    <w:rsid w:val="000E5ABB"/>
    <w:rsid w:val="002E4A7A"/>
    <w:rsid w:val="0052150E"/>
    <w:rsid w:val="008C1E5B"/>
    <w:rsid w:val="00D0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68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8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0682F"/>
    <w:rPr>
      <w:color w:val="0000FF"/>
      <w:u w:val="single"/>
    </w:rPr>
  </w:style>
  <w:style w:type="character" w:customStyle="1" w:styleId="delimiter">
    <w:name w:val="delimiter"/>
    <w:basedOn w:val="a0"/>
    <w:rsid w:val="00D0682F"/>
  </w:style>
  <w:style w:type="character" w:customStyle="1" w:styleId="current">
    <w:name w:val="current"/>
    <w:basedOn w:val="a0"/>
    <w:rsid w:val="00D0682F"/>
  </w:style>
  <w:style w:type="paragraph" w:customStyle="1" w:styleId="post-meta">
    <w:name w:val="post-meta"/>
    <w:basedOn w:val="a"/>
    <w:rsid w:val="00D0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meta-author">
    <w:name w:val="post-meta-author"/>
    <w:basedOn w:val="a0"/>
    <w:rsid w:val="00D0682F"/>
  </w:style>
  <w:style w:type="character" w:customStyle="1" w:styleId="tie-date">
    <w:name w:val="tie-date"/>
    <w:basedOn w:val="a0"/>
    <w:rsid w:val="00D0682F"/>
  </w:style>
  <w:style w:type="character" w:customStyle="1" w:styleId="post-views">
    <w:name w:val="post-views"/>
    <w:basedOn w:val="a0"/>
    <w:rsid w:val="00D0682F"/>
  </w:style>
  <w:style w:type="paragraph" w:styleId="a4">
    <w:name w:val="Normal (Web)"/>
    <w:basedOn w:val="a"/>
    <w:uiPriority w:val="99"/>
    <w:semiHidden/>
    <w:unhideWhenUsed/>
    <w:rsid w:val="00D0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6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68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8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0682F"/>
    <w:rPr>
      <w:color w:val="0000FF"/>
      <w:u w:val="single"/>
    </w:rPr>
  </w:style>
  <w:style w:type="character" w:customStyle="1" w:styleId="delimiter">
    <w:name w:val="delimiter"/>
    <w:basedOn w:val="a0"/>
    <w:rsid w:val="00D0682F"/>
  </w:style>
  <w:style w:type="character" w:customStyle="1" w:styleId="current">
    <w:name w:val="current"/>
    <w:basedOn w:val="a0"/>
    <w:rsid w:val="00D0682F"/>
  </w:style>
  <w:style w:type="paragraph" w:customStyle="1" w:styleId="post-meta">
    <w:name w:val="post-meta"/>
    <w:basedOn w:val="a"/>
    <w:rsid w:val="00D0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meta-author">
    <w:name w:val="post-meta-author"/>
    <w:basedOn w:val="a0"/>
    <w:rsid w:val="00D0682F"/>
  </w:style>
  <w:style w:type="character" w:customStyle="1" w:styleId="tie-date">
    <w:name w:val="tie-date"/>
    <w:basedOn w:val="a0"/>
    <w:rsid w:val="00D0682F"/>
  </w:style>
  <w:style w:type="character" w:customStyle="1" w:styleId="post-views">
    <w:name w:val="post-views"/>
    <w:basedOn w:val="a0"/>
    <w:rsid w:val="00D0682F"/>
  </w:style>
  <w:style w:type="paragraph" w:styleId="a4">
    <w:name w:val="Normal (Web)"/>
    <w:basedOn w:val="a"/>
    <w:uiPriority w:val="99"/>
    <w:semiHidden/>
    <w:unhideWhenUsed/>
    <w:rsid w:val="00D06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6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ck-auto.info/wp-content/uploads/2012/12/1356717972_truck-auto.info_bedford-oxd_2.jp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truck-auto.info/wp-content/uploads/2012/12/1356717996_truck-auto.info_bedford-oxd_5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uck-auto.info/wp-content/uploads/2012/12/1356717928_truck-auto.info_bedford-oxd_4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truck-auto.info/author/truck-aut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ruck-auto.info/wp-content/uploads/2012/12/1356718008_truck-auto.info_bedford-oxd_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2018-03-15T06:53:00Z</dcterms:created>
  <dcterms:modified xsi:type="dcterms:W3CDTF">2021-08-03T08:31:00Z</dcterms:modified>
</cp:coreProperties>
</file>