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8" w:rsidRPr="00E70B58" w:rsidRDefault="00E70B58" w:rsidP="00853D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A9B">
        <w:rPr>
          <w:rFonts w:ascii="Times New Roman" w:hAnsi="Times New Roman" w:cs="Times New Roman"/>
          <w:b/>
          <w:sz w:val="28"/>
          <w:szCs w:val="28"/>
        </w:rPr>
        <w:t>01-415</w:t>
      </w:r>
      <w:r w:rsidRPr="00E70B58">
        <w:rPr>
          <w:rFonts w:ascii="Times New Roman" w:hAnsi="Times New Roman" w:cs="Times New Roman"/>
          <w:b/>
          <w:sz w:val="28"/>
          <w:szCs w:val="28"/>
        </w:rPr>
        <w:t xml:space="preserve"> АЦ-30(66)-146 пожарная автоцистерна емк. 1500 л на шасси ГАЗ-66-01 4х4, насос ПН-40У 30 л/с, боевой расчет 2+2, полный вес 5.93 </w:t>
      </w:r>
      <w:proofErr w:type="spellStart"/>
      <w:r w:rsidRPr="00E70B5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70B5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ЗМЗ </w:t>
      </w:r>
      <w:r w:rsidRPr="00E70B58">
        <w:rPr>
          <w:rFonts w:ascii="Times New Roman" w:hAnsi="Times New Roman" w:cs="Times New Roman"/>
          <w:b/>
          <w:sz w:val="28"/>
          <w:szCs w:val="28"/>
        </w:rPr>
        <w:t xml:space="preserve">115 </w:t>
      </w:r>
      <w:proofErr w:type="spellStart"/>
      <w:r w:rsidRPr="00E70B5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70B58">
        <w:rPr>
          <w:rFonts w:ascii="Times New Roman" w:hAnsi="Times New Roman" w:cs="Times New Roman"/>
          <w:b/>
          <w:sz w:val="28"/>
          <w:szCs w:val="28"/>
        </w:rPr>
        <w:t xml:space="preserve">, 85 км/час, 10946 экз., ВЗППО п. г. т. Варгаши </w:t>
      </w:r>
      <w:proofErr w:type="gramStart"/>
      <w:r w:rsidRPr="00E70B58">
        <w:rPr>
          <w:rFonts w:ascii="Times New Roman" w:hAnsi="Times New Roman" w:cs="Times New Roman"/>
          <w:b/>
          <w:sz w:val="28"/>
          <w:szCs w:val="28"/>
        </w:rPr>
        <w:t>Курганской</w:t>
      </w:r>
      <w:proofErr w:type="gramEnd"/>
      <w:r w:rsidRPr="00E70B58">
        <w:rPr>
          <w:rFonts w:ascii="Times New Roman" w:hAnsi="Times New Roman" w:cs="Times New Roman"/>
          <w:b/>
          <w:sz w:val="28"/>
          <w:szCs w:val="28"/>
        </w:rPr>
        <w:t xml:space="preserve"> обл., 1971-82 г.  </w:t>
      </w:r>
    </w:p>
    <w:p w:rsidR="00E70B58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61C224" wp14:editId="4F61D743">
            <wp:simplePos x="0" y="0"/>
            <wp:positionH relativeFrom="margin">
              <wp:posOffset>356870</wp:posOffset>
            </wp:positionH>
            <wp:positionV relativeFrom="margin">
              <wp:posOffset>666750</wp:posOffset>
            </wp:positionV>
            <wp:extent cx="5501005" cy="340042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B4E72" w:rsidRDefault="00E70B58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01" w:rsidRPr="001A7EEA" w:rsidRDefault="005F1C01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>Еще в 1961 г, когда только-только были получены технические характеристики и габаритные чертежи ГАЗ-66 с Горьковского автомобильного завода, Особому конструкторскому бюро №8 из Прилук было поручено разработать целый ряд пожарных машин на этом шасси. С этого момента была начата разработка технического проекта, расчет и компоновка будущих автомобилей. Этот проект даже был защищен, но позднее оказалось, что с этой работой поторопились, так как шасси ГАЗ-66 задерживалось в производстве, а проект так и остался на бумаге.</w:t>
      </w:r>
    </w:p>
    <w:p w:rsidR="00C53241" w:rsidRPr="001A7EEA" w:rsidRDefault="00C53241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В 1964 г. вновь конструкторское бюро вернулось к этой теме. По чертежам ОКБ-8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в 1965</w:t>
      </w:r>
      <w:r w:rsidR="008E4FD4" w:rsidRPr="001A7EEA">
        <w:rPr>
          <w:rFonts w:ascii="Times New Roman" w:hAnsi="Times New Roman" w:cs="Times New Roman"/>
          <w:sz w:val="24"/>
          <w:szCs w:val="24"/>
        </w:rPr>
        <w:t>-66</w:t>
      </w:r>
      <w:r w:rsidRPr="001A7EEA">
        <w:rPr>
          <w:rFonts w:ascii="Times New Roman" w:hAnsi="Times New Roman" w:cs="Times New Roman"/>
          <w:sz w:val="24"/>
          <w:szCs w:val="24"/>
        </w:rPr>
        <w:t xml:space="preserve"> г изготовил два опытных образца автоцистерну АЦП-20(66)-99 и машину связи и освещения АСОП-5(66)-90.</w:t>
      </w:r>
    </w:p>
    <w:p w:rsidR="008E4FD4" w:rsidRPr="001A7EEA" w:rsidRDefault="0060435E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Но </w:t>
      </w:r>
      <w:r w:rsidR="005D6DCA" w:rsidRPr="001A7EEA">
        <w:rPr>
          <w:rFonts w:ascii="Times New Roman" w:hAnsi="Times New Roman" w:cs="Times New Roman"/>
          <w:sz w:val="24"/>
          <w:szCs w:val="24"/>
        </w:rPr>
        <w:t>автоцистерна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5D6DCA" w:rsidRPr="001A7EEA">
        <w:rPr>
          <w:rFonts w:ascii="Times New Roman" w:hAnsi="Times New Roman" w:cs="Times New Roman"/>
          <w:sz w:val="24"/>
          <w:szCs w:val="24"/>
        </w:rPr>
        <w:t>в серию не пошла</w:t>
      </w:r>
      <w:r w:rsidRPr="001A7EEA">
        <w:rPr>
          <w:rFonts w:ascii="Times New Roman" w:hAnsi="Times New Roman" w:cs="Times New Roman"/>
          <w:sz w:val="24"/>
          <w:szCs w:val="24"/>
        </w:rPr>
        <w:t>, посчитали, что для сельской цистерны нецелесообразно городить отдельную кабину боевого расчета, тем самым повышая его стоимость.</w:t>
      </w:r>
      <w:r w:rsidR="008E4FD4" w:rsidRPr="001A7EEA">
        <w:rPr>
          <w:rFonts w:ascii="Times New Roman" w:hAnsi="Times New Roman" w:cs="Times New Roman"/>
          <w:sz w:val="24"/>
          <w:szCs w:val="24"/>
        </w:rPr>
        <w:t xml:space="preserve"> Первой серийной моделью пожарной автоцистерны на шасси ГАЗ-66 становится АЦ-20(66)-104. Разработка её велась совместно с моделью 99, возможно в качестве более экономичной по затратам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материала и низкой по трудоемкости постройки альтернативы. За счет отказа от кабины боевого расчета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и кузова как такового удалось увеличить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ёмкость цистерны до 1550 л. В этом, наверное, единственный плюс данной модели,</w:t>
      </w:r>
    </w:p>
    <w:p w:rsidR="005F1C01" w:rsidRPr="001A7EEA" w:rsidRDefault="008E4FD4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>ведь ёмкость в 1550 л для характеристик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Pr="001A7EEA">
        <w:rPr>
          <w:rFonts w:ascii="Times New Roman" w:hAnsi="Times New Roman" w:cs="Times New Roman"/>
          <w:sz w:val="24"/>
          <w:szCs w:val="24"/>
        </w:rPr>
        <w:t>пожарных автоцистерн на шасси ГАЗ-66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Pr="001A7EEA">
        <w:rPr>
          <w:rFonts w:ascii="Times New Roman" w:hAnsi="Times New Roman" w:cs="Times New Roman"/>
          <w:sz w:val="24"/>
          <w:szCs w:val="24"/>
        </w:rPr>
        <w:t xml:space="preserve">близка к </w:t>
      </w:r>
      <w:proofErr w:type="gramStart"/>
      <w:r w:rsidRPr="001A7EEA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1A7EEA">
        <w:rPr>
          <w:rFonts w:ascii="Times New Roman" w:hAnsi="Times New Roman" w:cs="Times New Roman"/>
          <w:sz w:val="24"/>
          <w:szCs w:val="24"/>
        </w:rPr>
        <w:t>.</w:t>
      </w:r>
      <w:r w:rsidR="004721D9" w:rsidRPr="001A7EEA">
        <w:rPr>
          <w:rFonts w:ascii="Times New Roman" w:hAnsi="Times New Roman" w:cs="Times New Roman"/>
          <w:sz w:val="24"/>
          <w:szCs w:val="24"/>
        </w:rPr>
        <w:t xml:space="preserve"> Выпуск машины был налажен с 1968 по 1971 г.</w:t>
      </w:r>
    </w:p>
    <w:p w:rsidR="00084806" w:rsidRPr="001A7EEA" w:rsidRDefault="005F7C11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С 1971 г. серийно стала выпускаться новая модернизация автоцистерны на базе автомобиля ГАЗ-66 АЦ-30(66)–146, на которой был установлен более мощный насос. </w:t>
      </w:r>
      <w:r w:rsidR="00084806" w:rsidRPr="001A7EEA">
        <w:rPr>
          <w:rFonts w:ascii="Times New Roman" w:hAnsi="Times New Roman" w:cs="Times New Roman"/>
          <w:sz w:val="24"/>
          <w:szCs w:val="24"/>
        </w:rPr>
        <w:t xml:space="preserve">Насос на автоцистерне имел </w:t>
      </w:r>
      <w:proofErr w:type="gramStart"/>
      <w:r w:rsidR="00084806" w:rsidRPr="001A7EEA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084806" w:rsidRPr="001A7EEA" w:rsidRDefault="00084806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>крайность по сравнению с предшественницами. Если со 115 л. с. двигателя насос ПН-20К чувствовал себя комфортно и даже мог обеспечить чуть более высокую производительность, чем теоретическая,</w:t>
      </w:r>
    </w:p>
    <w:p w:rsidR="00084806" w:rsidRPr="001A7EEA" w:rsidRDefault="00084806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>то с установкой на шасси ГАЗ-66 стандартного насоса советской пожарной охраны ПН-40У ситуация поменялась. Мощность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Pr="001A7EEA">
        <w:rPr>
          <w:rFonts w:ascii="Times New Roman" w:hAnsi="Times New Roman" w:cs="Times New Roman"/>
          <w:sz w:val="24"/>
          <w:szCs w:val="24"/>
        </w:rPr>
        <w:t xml:space="preserve">двигателя оказалась недостаточной, и насос </w:t>
      </w:r>
      <w:proofErr w:type="gramStart"/>
      <w:r w:rsidRPr="001A7EEA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Pr="001A7EEA">
        <w:rPr>
          <w:rFonts w:ascii="Times New Roman" w:hAnsi="Times New Roman" w:cs="Times New Roman"/>
          <w:sz w:val="24"/>
          <w:szCs w:val="24"/>
        </w:rPr>
        <w:lastRenderedPageBreak/>
        <w:t>40л/с не развивал. Отсюда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Pr="001A7EEA">
        <w:rPr>
          <w:rFonts w:ascii="Times New Roman" w:hAnsi="Times New Roman" w:cs="Times New Roman"/>
          <w:sz w:val="24"/>
          <w:szCs w:val="24"/>
        </w:rPr>
        <w:t>и производительность, указанная в марке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Pr="001A7EEA">
        <w:rPr>
          <w:rFonts w:ascii="Times New Roman" w:hAnsi="Times New Roman" w:cs="Times New Roman"/>
          <w:sz w:val="24"/>
          <w:szCs w:val="24"/>
        </w:rPr>
        <w:t>автомобиля — 30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Pr="001A7EEA">
        <w:rPr>
          <w:rFonts w:ascii="Times New Roman" w:hAnsi="Times New Roman" w:cs="Times New Roman"/>
          <w:sz w:val="24"/>
          <w:szCs w:val="24"/>
        </w:rPr>
        <w:t>л/с (АЦ-30(66)-146).</w:t>
      </w:r>
    </w:p>
    <w:p w:rsidR="00C96060" w:rsidRPr="001A7EEA" w:rsidRDefault="00084806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 xml:space="preserve">Боевой расчет – два человека в кабине шасси. При необходимости еще два человека может расположиться на открытых сиденьях, расположенных непосредственно за кабиной водителя. </w:t>
      </w:r>
      <w:r w:rsidR="005F7C11" w:rsidRPr="001A7EEA">
        <w:rPr>
          <w:rFonts w:ascii="Times New Roman" w:hAnsi="Times New Roman" w:cs="Times New Roman"/>
          <w:sz w:val="24"/>
          <w:szCs w:val="24"/>
        </w:rPr>
        <w:t xml:space="preserve">На кронштейнах над кузовом располагались съемные пеналы для всасывающих рукавов. </w:t>
      </w:r>
      <w:r w:rsidR="00851250" w:rsidRPr="001A7EEA">
        <w:rPr>
          <w:rFonts w:ascii="Times New Roman" w:hAnsi="Times New Roman" w:cs="Times New Roman"/>
          <w:sz w:val="24"/>
          <w:szCs w:val="24"/>
        </w:rPr>
        <w:t xml:space="preserve">Сварная эллиптическая ёмкость </w:t>
      </w:r>
      <w:r w:rsidR="00EE0061" w:rsidRPr="001A7EEA">
        <w:rPr>
          <w:rFonts w:ascii="Times New Roman" w:hAnsi="Times New Roman" w:cs="Times New Roman"/>
          <w:sz w:val="24"/>
          <w:szCs w:val="24"/>
        </w:rPr>
        <w:t xml:space="preserve">для воды на 1500 л </w:t>
      </w:r>
      <w:r w:rsidR="00851250" w:rsidRPr="001A7EEA">
        <w:rPr>
          <w:rFonts w:ascii="Times New Roman" w:hAnsi="Times New Roman" w:cs="Times New Roman"/>
          <w:sz w:val="24"/>
          <w:szCs w:val="24"/>
        </w:rPr>
        <w:t>имела внутренний вол</w:t>
      </w:r>
      <w:r w:rsidR="00EE0061" w:rsidRPr="001A7EEA">
        <w:rPr>
          <w:rFonts w:ascii="Times New Roman" w:hAnsi="Times New Roman" w:cs="Times New Roman"/>
          <w:sz w:val="24"/>
          <w:szCs w:val="24"/>
        </w:rPr>
        <w:t>норез</w:t>
      </w:r>
      <w:r w:rsidR="00851250" w:rsidRPr="001A7EEA">
        <w:rPr>
          <w:rFonts w:ascii="Times New Roman" w:hAnsi="Times New Roman" w:cs="Times New Roman"/>
          <w:sz w:val="24"/>
          <w:szCs w:val="24"/>
        </w:rPr>
        <w:t>, гасящий колебания воды при движении. К цистерне крепились ящики,</w:t>
      </w:r>
      <w:r w:rsidR="00EE0061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51250" w:rsidRPr="001A7EEA">
        <w:rPr>
          <w:rFonts w:ascii="Times New Roman" w:hAnsi="Times New Roman" w:cs="Times New Roman"/>
          <w:sz w:val="24"/>
          <w:szCs w:val="24"/>
        </w:rPr>
        <w:t>в которых размещалось противопожарное</w:t>
      </w:r>
      <w:r w:rsidR="00EE0061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51250" w:rsidRPr="001A7EEA">
        <w:rPr>
          <w:rFonts w:ascii="Times New Roman" w:hAnsi="Times New Roman" w:cs="Times New Roman"/>
          <w:sz w:val="24"/>
          <w:szCs w:val="24"/>
        </w:rPr>
        <w:t xml:space="preserve">оборудование. </w:t>
      </w:r>
      <w:proofErr w:type="spellStart"/>
      <w:r w:rsidR="00851250" w:rsidRPr="001A7EEA">
        <w:rPr>
          <w:rFonts w:ascii="Times New Roman" w:hAnsi="Times New Roman" w:cs="Times New Roman"/>
          <w:sz w:val="24"/>
          <w:szCs w:val="24"/>
        </w:rPr>
        <w:t>Пенобак</w:t>
      </w:r>
      <w:proofErr w:type="spellEnd"/>
      <w:r w:rsidR="00851250" w:rsidRPr="001A7EEA">
        <w:rPr>
          <w:rFonts w:ascii="Times New Roman" w:hAnsi="Times New Roman" w:cs="Times New Roman"/>
          <w:sz w:val="24"/>
          <w:szCs w:val="24"/>
        </w:rPr>
        <w:t xml:space="preserve"> на автоцистерне</w:t>
      </w:r>
      <w:r w:rsidR="00EE0061" w:rsidRPr="001A7EEA">
        <w:rPr>
          <w:rFonts w:ascii="Times New Roman" w:hAnsi="Times New Roman" w:cs="Times New Roman"/>
          <w:sz w:val="24"/>
          <w:szCs w:val="24"/>
        </w:rPr>
        <w:t xml:space="preserve"> подобного исполнения</w:t>
      </w:r>
      <w:r w:rsidR="00851250" w:rsidRPr="001A7EEA">
        <w:rPr>
          <w:rFonts w:ascii="Times New Roman" w:hAnsi="Times New Roman" w:cs="Times New Roman"/>
          <w:sz w:val="24"/>
          <w:szCs w:val="24"/>
        </w:rPr>
        <w:t xml:space="preserve"> отсутствовал. Насосная установка</w:t>
      </w:r>
      <w:r w:rsidR="00C96060" w:rsidRPr="001A7EEA">
        <w:rPr>
          <w:rFonts w:ascii="Times New Roman" w:hAnsi="Times New Roman" w:cs="Times New Roman"/>
          <w:sz w:val="24"/>
          <w:szCs w:val="24"/>
        </w:rPr>
        <w:t xml:space="preserve"> размещалась в заднем закрытом отсеке, в зимнее время </w:t>
      </w:r>
      <w:proofErr w:type="gramStart"/>
      <w:r w:rsidR="00C96060" w:rsidRPr="001A7EEA">
        <w:rPr>
          <w:rFonts w:ascii="Times New Roman" w:hAnsi="Times New Roman" w:cs="Times New Roman"/>
          <w:sz w:val="24"/>
          <w:szCs w:val="24"/>
        </w:rPr>
        <w:t>обогревающимся</w:t>
      </w:r>
      <w:proofErr w:type="gramEnd"/>
      <w:r w:rsidR="00C96060" w:rsidRPr="001A7EEA">
        <w:rPr>
          <w:rFonts w:ascii="Times New Roman" w:hAnsi="Times New Roman" w:cs="Times New Roman"/>
          <w:sz w:val="24"/>
          <w:szCs w:val="24"/>
        </w:rPr>
        <w:t xml:space="preserve"> выхлопными газами двигателя,</w:t>
      </w:r>
      <w:r w:rsidR="00102DB5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проходящими через специальную батарею.</w:t>
      </w:r>
      <w:r w:rsidR="00102DB5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Забор воды осуществлялся при помощи газоструйного вакуум-аппарата, вмонтированного в выхлопной тракт двигателя</w:t>
      </w:r>
      <w:r w:rsidR="00102DB5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 xml:space="preserve">и соединенного трубопроводом с </w:t>
      </w:r>
      <w:proofErr w:type="gramStart"/>
      <w:r w:rsidR="00C96060" w:rsidRPr="001A7EEA">
        <w:rPr>
          <w:rFonts w:ascii="Times New Roman" w:hAnsi="Times New Roman" w:cs="Times New Roman"/>
          <w:sz w:val="24"/>
          <w:szCs w:val="24"/>
        </w:rPr>
        <w:t>вакуум-краном</w:t>
      </w:r>
      <w:proofErr w:type="gramEnd"/>
      <w:r w:rsidR="00C96060" w:rsidRPr="001A7EEA">
        <w:rPr>
          <w:rFonts w:ascii="Times New Roman" w:hAnsi="Times New Roman" w:cs="Times New Roman"/>
          <w:sz w:val="24"/>
          <w:szCs w:val="24"/>
        </w:rPr>
        <w:t>, установленным на корпусе пожарного насоса.</w:t>
      </w:r>
    </w:p>
    <w:p w:rsidR="00C96060" w:rsidRPr="001A7EEA" w:rsidRDefault="00102DB5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Дополнительное охлаждение двигателя при работе в стационарном режиме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на привод насоса происходило при помощи специальных теплообменников, включенных в систему охлаждения двигателя,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в коробку отбора мощности и в баке гидроусилителя руля. Система соединялась трубопроводами с напорной и всасывающей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полостями насоса и обеспечивала нормальный тепловой режим работы двигателя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в течение шести часов непрерывной работы. Дополнительное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электрооборудование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включало в себя: проблесковый маяк с синим стеклом, заднюю фару для освещения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места работы, лампы освещения насосного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 xml:space="preserve">отсека и подсветки </w:t>
      </w:r>
      <w:proofErr w:type="gramStart"/>
      <w:r w:rsidR="00C96060" w:rsidRPr="001A7EEA">
        <w:rPr>
          <w:rFonts w:ascii="Times New Roman" w:hAnsi="Times New Roman" w:cs="Times New Roman"/>
          <w:sz w:val="24"/>
          <w:szCs w:val="24"/>
        </w:rPr>
        <w:t>вакуум-крана</w:t>
      </w:r>
      <w:proofErr w:type="gramEnd"/>
      <w:r w:rsidR="00C96060" w:rsidRPr="001A7EEA">
        <w:rPr>
          <w:rFonts w:ascii="Times New Roman" w:hAnsi="Times New Roman" w:cs="Times New Roman"/>
          <w:sz w:val="24"/>
          <w:szCs w:val="24"/>
        </w:rPr>
        <w:t>.</w:t>
      </w:r>
    </w:p>
    <w:p w:rsidR="008056C5" w:rsidRPr="001A7EEA" w:rsidRDefault="008056C5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1977 год стал годом коренного преобразования пожарной техники на шасси ГАЗ-66. На смену автоцистерне модели 146 была разработана и построен опытный образец автоцистерны АЦ-30(66)-184.</w:t>
      </w:r>
    </w:p>
    <w:p w:rsidR="00D86928" w:rsidRPr="001A7EEA" w:rsidRDefault="00D86928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Эта автоцистерна по сравнению с предшественницей, моделью 146 имела совершенно иную конструкцию кузова. Цистерна скрыта отсеками-пеналами для размещения оборудования. Сзади цистерна закрыта насосным отсеком, на котором установлена фара-прожектор. Двери кузова навешаны на скрытых петлях.</w:t>
      </w:r>
    </w:p>
    <w:p w:rsidR="008C4BE7" w:rsidRDefault="008C4BE7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Автоцистерна АЦ-30(66)-146 выпускалась с 1971 по 1982 г. Всего было выпущено 10</w:t>
      </w:r>
      <w:r w:rsidR="00E70B58" w:rsidRPr="001A7EEA">
        <w:rPr>
          <w:rFonts w:ascii="Times New Roman" w:hAnsi="Times New Roman" w:cs="Times New Roman"/>
          <w:sz w:val="24"/>
          <w:szCs w:val="24"/>
        </w:rPr>
        <w:t>946 шт.</w:t>
      </w:r>
    </w:p>
    <w:p w:rsidR="00A427CA" w:rsidRDefault="008729DC" w:rsidP="00853D76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CA" w:rsidRPr="008729DC" w:rsidRDefault="00A427CA" w:rsidP="00853D76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DC">
        <w:rPr>
          <w:rFonts w:ascii="Times New Roman" w:hAnsi="Times New Roman" w:cs="Times New Roman"/>
          <w:b/>
          <w:bCs/>
          <w:sz w:val="24"/>
          <w:szCs w:val="24"/>
        </w:rPr>
        <w:t>Тактико-технические характеристики и основные тактические возможности автоцистерн легкого типа</w:t>
      </w:r>
    </w:p>
    <w:p w:rsidR="001A7EEA" w:rsidRPr="008729DC" w:rsidRDefault="001A7EE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176"/>
        <w:gridCol w:w="3361"/>
        <w:gridCol w:w="1100"/>
        <w:gridCol w:w="1236"/>
        <w:gridCol w:w="1594"/>
        <w:gridCol w:w="1529"/>
      </w:tblGrid>
      <w:tr w:rsidR="00A427CA" w:rsidRPr="008729DC" w:rsidTr="00853D76">
        <w:trPr>
          <w:trHeight w:val="31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№ </w:t>
            </w:r>
          </w:p>
          <w:p w:rsidR="00A427CA" w:rsidRPr="008729DC" w:rsidRDefault="00A427CA" w:rsidP="00853D76">
            <w:pPr>
              <w:pStyle w:val="Default"/>
            </w:pPr>
            <w:proofErr w:type="gramStart"/>
            <w:r w:rsidRPr="008729DC">
              <w:rPr>
                <w:bCs/>
              </w:rPr>
              <w:t>п</w:t>
            </w:r>
            <w:proofErr w:type="gramEnd"/>
            <w:r w:rsidRPr="008729DC">
              <w:rPr>
                <w:bCs/>
              </w:rPr>
              <w:t>/п</w:t>
            </w:r>
            <w:r w:rsidRPr="008729D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Показатели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/>
                <w:bCs/>
              </w:rPr>
              <w:t xml:space="preserve">АЦ-30(66) </w:t>
            </w:r>
          </w:p>
          <w:p w:rsidR="00A427CA" w:rsidRPr="008729DC" w:rsidRDefault="008729DC" w:rsidP="00853D76">
            <w:pPr>
              <w:pStyle w:val="Default"/>
            </w:pPr>
            <w:r>
              <w:rPr>
                <w:b/>
                <w:bCs/>
              </w:rPr>
              <w:t>(мод.</w:t>
            </w:r>
            <w:r w:rsidR="00A427CA" w:rsidRPr="008729DC">
              <w:rPr>
                <w:b/>
                <w:bCs/>
              </w:rPr>
              <w:t xml:space="preserve"> 146)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АЦ-30(66) </w:t>
            </w:r>
          </w:p>
          <w:p w:rsidR="00A427CA" w:rsidRPr="008729DC" w:rsidRDefault="008729DC" w:rsidP="00853D76">
            <w:pPr>
              <w:pStyle w:val="Default"/>
            </w:pPr>
            <w:r w:rsidRPr="008729DC">
              <w:rPr>
                <w:bCs/>
              </w:rPr>
              <w:t>(мод.</w:t>
            </w:r>
            <w:r w:rsidR="00A427CA" w:rsidRPr="008729DC">
              <w:rPr>
                <w:bCs/>
              </w:rPr>
              <w:t xml:space="preserve"> 184)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АЦ-2-30 (53А)-106В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АЦ-1,6-30 (66)-184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Шасси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ГАЗ-53А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8729DC" w:rsidP="00853D76">
            <w:pPr>
              <w:pStyle w:val="Default"/>
            </w:pPr>
            <w:r>
              <w:t>Макс.</w:t>
            </w:r>
            <w:r w:rsidR="00A427CA" w:rsidRPr="008729DC">
              <w:t xml:space="preserve"> скорость, </w:t>
            </w:r>
            <w:proofErr w:type="gramStart"/>
            <w:r w:rsidR="00A427CA" w:rsidRPr="008729DC">
              <w:t>км</w:t>
            </w:r>
            <w:proofErr w:type="gramEnd"/>
            <w:r w:rsidR="00A427CA" w:rsidRPr="008729DC">
              <w:t xml:space="preserve">/ч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Число мест для боевого расчета, включая водителя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Масса с полной нагрузкой, </w:t>
            </w:r>
            <w:proofErr w:type="gramStart"/>
            <w:r w:rsidRPr="008729DC">
              <w:t>кг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5930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6120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7200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6120 </w:t>
            </w:r>
          </w:p>
        </w:tc>
      </w:tr>
      <w:tr w:rsidR="00A427CA" w:rsidRPr="008729DC" w:rsidTr="00853D76">
        <w:trPr>
          <w:trHeight w:val="136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Мощность двигателя, кВт (л. с)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Марка насоса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ПН-40УВ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ПН-40УВ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Подача воды при высоте всасывания 3,5 м, л/мин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1500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Напор, </w:t>
            </w:r>
            <w:proofErr w:type="gramStart"/>
            <w:r w:rsidRPr="008729DC">
              <w:t>м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</w:tr>
      <w:tr w:rsidR="00A427CA" w:rsidRPr="008729DC" w:rsidTr="00853D76">
        <w:trPr>
          <w:trHeight w:val="385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9.1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9.2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Емкость, </w:t>
            </w:r>
            <w:proofErr w:type="gramStart"/>
            <w:r w:rsidRPr="008729DC">
              <w:t>л</w:t>
            </w:r>
            <w:proofErr w:type="gramEnd"/>
            <w:r w:rsidRPr="008729DC">
              <w:t xml:space="preserve">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Цистерны для воды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Бака пенообразователя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1500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1600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2000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1600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100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Время всасывания воды с высоты 7 м, </w:t>
            </w:r>
            <w:proofErr w:type="gramStart"/>
            <w:r w:rsidRPr="008729DC">
              <w:t>с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</w:tr>
      <w:tr w:rsidR="00A427CA" w:rsidRPr="008729DC" w:rsidTr="00853D76">
        <w:trPr>
          <w:trHeight w:val="661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11.1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11.2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11.3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Число (шт.) напорных рукавов диаметром, </w:t>
            </w:r>
            <w:proofErr w:type="gramStart"/>
            <w:r w:rsidRPr="008729DC">
              <w:t>мм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77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8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</w:tr>
      <w:tr w:rsidR="00A427CA" w:rsidRPr="008729DC" w:rsidTr="00853D76">
        <w:trPr>
          <w:trHeight w:val="661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Число (шт.) пожарных стволов: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А </w:t>
            </w:r>
          </w:p>
          <w:p w:rsidR="00A427CA" w:rsidRPr="008729DC" w:rsidRDefault="00A427CA" w:rsidP="00853D76">
            <w:pPr>
              <w:pStyle w:val="Default"/>
            </w:pPr>
            <w:proofErr w:type="gramStart"/>
            <w:r w:rsidRPr="008729DC">
              <w:t>Б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СВП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ГПС-600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  <w:gridSpan w:val="6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Без установки на </w:t>
            </w:r>
            <w:proofErr w:type="spellStart"/>
            <w:r w:rsidRPr="008729DC">
              <w:t>водоисточник</w:t>
            </w:r>
            <w:proofErr w:type="spellEnd"/>
            <w:r w:rsidRPr="008729DC">
              <w:t xml:space="preserve">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  <w:gridSpan w:val="3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13 </w:t>
            </w:r>
          </w:p>
        </w:tc>
        <w:tc>
          <w:tcPr>
            <w:tcW w:w="0" w:type="auto"/>
            <w:gridSpan w:val="3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Время работы от заправочных емкостей автоцистерны, мин: </w:t>
            </w:r>
          </w:p>
        </w:tc>
      </w:tr>
      <w:tr w:rsidR="00A427CA" w:rsidRPr="008729DC" w:rsidTr="00853D76">
        <w:trPr>
          <w:trHeight w:val="523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13.1113.2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13.3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13.4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Одного </w:t>
            </w:r>
            <w:proofErr w:type="spellStart"/>
            <w:r w:rsidRPr="008729DC">
              <w:t>ств</w:t>
            </w:r>
            <w:proofErr w:type="gramStart"/>
            <w:r w:rsidRPr="008729DC">
              <w:t>.Б</w:t>
            </w:r>
            <w:proofErr w:type="spellEnd"/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Одного </w:t>
            </w:r>
            <w:proofErr w:type="spellStart"/>
            <w:r w:rsidRPr="008729DC">
              <w:t>ств</w:t>
            </w:r>
            <w:proofErr w:type="gramStart"/>
            <w:r w:rsidRPr="008729DC">
              <w:t>.Б</w:t>
            </w:r>
            <w:proofErr w:type="spellEnd"/>
            <w:proofErr w:type="gramEnd"/>
            <w:r w:rsidRPr="008729DC">
              <w:t xml:space="preserve"> или одного А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Одного ств</w:t>
            </w:r>
            <w:proofErr w:type="gramStart"/>
            <w:r w:rsidRPr="008729DC">
              <w:t>.С</w:t>
            </w:r>
            <w:proofErr w:type="gramEnd"/>
            <w:r w:rsidRPr="008729DC">
              <w:t xml:space="preserve">ВП-4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Одного генератора ГПС-600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7,2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5,0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4,5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5,9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7,2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4,5 </w:t>
            </w:r>
          </w:p>
        </w:tc>
      </w:tr>
      <w:tr w:rsidR="00A427CA" w:rsidRPr="008729DC" w:rsidTr="00853D76">
        <w:trPr>
          <w:trHeight w:val="412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14.1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14.2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Количество пены, м3: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Низкой кратности (К=10)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Средней кратности (К=100)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16,7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160...170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16,7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167 </w:t>
            </w:r>
          </w:p>
        </w:tc>
      </w:tr>
      <w:tr w:rsidR="00A427CA" w:rsidRPr="008729DC" w:rsidTr="00853D76">
        <w:trPr>
          <w:trHeight w:val="79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15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15.1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15.2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>Возможная площадь тушения пеной, 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Низкой кратности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J=0,1...0,15 л*(с*м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)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Средней кратности при J=0,05...0,08 л*(с*м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27...18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55-56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34...23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68-42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27...18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54...34 </w:t>
            </w:r>
          </w:p>
        </w:tc>
      </w:tr>
    </w:tbl>
    <w:p w:rsidR="00A427CA" w:rsidRPr="001A7EEA" w:rsidRDefault="00A427C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6C5" w:rsidRDefault="001A7EEA" w:rsidP="00853D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7EEA" w:rsidRPr="000F56B6" w:rsidRDefault="001A7EEA" w:rsidP="00853D7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5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ГАЗ-66 1964 – 99 г.</w:t>
      </w:r>
    </w:p>
    <w:p w:rsidR="001A7EEA" w:rsidRPr="001A7EEA" w:rsidRDefault="001A7EEA" w:rsidP="00853D76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 ГАЗ-66 – советский грузовой автомобиль с колёсной формулой 4×4; рамной конструкции,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безкапотной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компоновки; грузоподъёмностью 2 тонны.</w:t>
      </w:r>
    </w:p>
    <w:p w:rsidR="001A7EEA" w:rsidRPr="001A7EEA" w:rsidRDefault="001A7EE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При разработке нового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грузовика команда конструкторов Горьковского автозавода опиралась на конструкцию 2-тонного внедорожного грузовика ГАЗ-63, выпускавшегося в 1948-68 г. Однако ГАЗ-66 стал автомобилем совершенно новой конструкции –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бескапотником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с откидывающейся кабиной.</w:t>
      </w:r>
    </w:p>
    <w:p w:rsidR="001A7EEA" w:rsidRPr="001A7EEA" w:rsidRDefault="001A7EE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Первая партия грузовиков ГАЗ-66 была выпущена в 1962 году, а 1 июля 1964 года модель поступила в серийное производство. Автомобиль мог перевозить 2 тонны груза, имел большой дорожный просвет, подкачку шин и полный привод с использованием самоблокирующихся дифференциалов. Таким образом, обеспечивалась уникальная проходимость. </w:t>
      </w:r>
      <w:r w:rsidRPr="001A7EEA">
        <w:rPr>
          <w:rFonts w:ascii="Times New Roman" w:hAnsi="Times New Roman" w:cs="Times New Roman"/>
          <w:sz w:val="24"/>
          <w:szCs w:val="24"/>
        </w:rPr>
        <w:br/>
        <w:t xml:space="preserve"> Помимо своих вездеходных качеств, ГАЗ-66 отличался ещё и небывалой прочностью. Дело в том, что при разработке автомобиля основной задачей была транспортировка и возможность сброса  грузовика из самолёта или вертолёта, это и обусловило легендарную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неубиваемость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.    В 1968 году в устройство машины была также внедрена система централизованного регулирования давления в шинах. ГАЗ-66 продержался на заводском конвейере, в разных модификациях, вплоть до 1995 года. Тогда ему на смену пришло построенное на той же платформе и снабжённое дизельными двигателями семейство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машин ГАЗ-3308 «Садко». Самый последний, 965 941-й по счёту, экземпляр ГАЗ-66 сошёл с конвейера Горьковского автозавода ровно в канун 35-летнего юбилея массового производства модели: 1 июля 1999 года. Но это была уже не серийная (конвейерная), а штучная сборка из </w:t>
      </w:r>
      <w:proofErr w:type="gramStart"/>
      <w:r w:rsidRPr="001A7EEA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>.</w:t>
      </w:r>
    </w:p>
    <w:p w:rsidR="001A7EEA" w:rsidRDefault="001A7EEA" w:rsidP="00853D76">
      <w:pPr>
        <w:spacing w:line="240" w:lineRule="auto"/>
        <w:rPr>
          <w:rFonts w:ascii="Times New Roman" w:hAnsi="Times New Roman" w:cs="Times New Roman"/>
        </w:rPr>
      </w:pPr>
    </w:p>
    <w:sectPr w:rsidR="001A7EEA" w:rsidSect="00E70B5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2B"/>
    <w:rsid w:val="00084806"/>
    <w:rsid w:val="000E5ABB"/>
    <w:rsid w:val="00102DB5"/>
    <w:rsid w:val="00182A60"/>
    <w:rsid w:val="001A7EEA"/>
    <w:rsid w:val="00412A9B"/>
    <w:rsid w:val="00470C33"/>
    <w:rsid w:val="004721D9"/>
    <w:rsid w:val="0052150E"/>
    <w:rsid w:val="005D6DCA"/>
    <w:rsid w:val="005F1C01"/>
    <w:rsid w:val="005F7C11"/>
    <w:rsid w:val="0060435E"/>
    <w:rsid w:val="00651B05"/>
    <w:rsid w:val="006C7AAC"/>
    <w:rsid w:val="008056C5"/>
    <w:rsid w:val="00851250"/>
    <w:rsid w:val="00853D76"/>
    <w:rsid w:val="008729DC"/>
    <w:rsid w:val="008C4BE7"/>
    <w:rsid w:val="008E4FD4"/>
    <w:rsid w:val="00A17B2B"/>
    <w:rsid w:val="00A427CA"/>
    <w:rsid w:val="00AB4E72"/>
    <w:rsid w:val="00C53241"/>
    <w:rsid w:val="00C96060"/>
    <w:rsid w:val="00D86928"/>
    <w:rsid w:val="00E70B58"/>
    <w:rsid w:val="00EE0061"/>
    <w:rsid w:val="00EE7247"/>
    <w:rsid w:val="00F47507"/>
    <w:rsid w:val="00F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1A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EEA"/>
  </w:style>
  <w:style w:type="table" w:styleId="a3">
    <w:name w:val="Table Grid"/>
    <w:basedOn w:val="a1"/>
    <w:uiPriority w:val="59"/>
    <w:rsid w:val="001A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470C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427C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1A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EEA"/>
  </w:style>
  <w:style w:type="table" w:styleId="a3">
    <w:name w:val="Table Grid"/>
    <w:basedOn w:val="a1"/>
    <w:uiPriority w:val="59"/>
    <w:rsid w:val="001A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470C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427C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FF4C-CBA9-4F44-813F-1A8F61C4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2020-07-26T06:19:00Z</dcterms:created>
  <dcterms:modified xsi:type="dcterms:W3CDTF">2020-07-26T10:35:00Z</dcterms:modified>
</cp:coreProperties>
</file>