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2B" w:rsidRPr="00BD252B" w:rsidRDefault="00BD252B" w:rsidP="00BD252B">
      <w:p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 xml:space="preserve">На Российском рынке грузовики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представлены тремя сериями. Серия FM (сокращение от </w:t>
      </w:r>
      <w:proofErr w:type="gramStart"/>
      <w:r w:rsidRPr="00BD252B">
        <w:rPr>
          <w:rFonts w:ascii="Times New Roman" w:eastAsia="Times New Roman" w:hAnsi="Times New Roman" w:cs="Times New Roman"/>
          <w:sz w:val="24"/>
          <w:szCs w:val="24"/>
          <w:lang w:eastAsia="ru-RU"/>
        </w:rPr>
        <w:t>шведского</w:t>
      </w:r>
      <w:proofErr w:type="gramEnd"/>
      <w:r w:rsidRPr="00BD252B">
        <w:rPr>
          <w:rFonts w:ascii="Times New Roman" w:eastAsia="Times New Roman" w:hAnsi="Times New Roman" w:cs="Times New Roman"/>
          <w:sz w:val="24"/>
          <w:szCs w:val="24"/>
          <w:lang w:eastAsia="ru-RU"/>
        </w:rPr>
        <w:t xml:space="preserve"> </w:t>
      </w:r>
      <w:proofErr w:type="spellStart"/>
      <w:r w:rsidRPr="00BD252B">
        <w:rPr>
          <w:rFonts w:ascii="Times New Roman" w:eastAsia="Times New Roman" w:hAnsi="Times New Roman" w:cs="Times New Roman"/>
          <w:sz w:val="24"/>
          <w:szCs w:val="24"/>
          <w:lang w:eastAsia="ru-RU"/>
        </w:rPr>
        <w:t>Frambyggd</w:t>
      </w:r>
      <w:proofErr w:type="spellEnd"/>
      <w:r w:rsidRPr="00BD252B">
        <w:rPr>
          <w:rFonts w:ascii="Times New Roman" w:eastAsia="Times New Roman" w:hAnsi="Times New Roman" w:cs="Times New Roman"/>
          <w:sz w:val="24"/>
          <w:szCs w:val="24"/>
          <w:lang w:eastAsia="ru-RU"/>
        </w:rPr>
        <w:t xml:space="preserve"> </w:t>
      </w:r>
      <w:proofErr w:type="spellStart"/>
      <w:r w:rsidRPr="00BD252B">
        <w:rPr>
          <w:rFonts w:ascii="Times New Roman" w:eastAsia="Times New Roman" w:hAnsi="Times New Roman" w:cs="Times New Roman"/>
          <w:sz w:val="24"/>
          <w:szCs w:val="24"/>
          <w:lang w:eastAsia="ru-RU"/>
        </w:rPr>
        <w:t>med</w:t>
      </w:r>
      <w:proofErr w:type="spellEnd"/>
      <w:r w:rsidRPr="00BD252B">
        <w:rPr>
          <w:rFonts w:ascii="Times New Roman" w:eastAsia="Times New Roman" w:hAnsi="Times New Roman" w:cs="Times New Roman"/>
          <w:sz w:val="24"/>
          <w:szCs w:val="24"/>
          <w:lang w:eastAsia="ru-RU"/>
        </w:rPr>
        <w:t xml:space="preserve"> </w:t>
      </w:r>
      <w:proofErr w:type="spellStart"/>
      <w:r w:rsidRPr="00BD252B">
        <w:rPr>
          <w:rFonts w:ascii="Times New Roman" w:eastAsia="Times New Roman" w:hAnsi="Times New Roman" w:cs="Times New Roman"/>
          <w:sz w:val="24"/>
          <w:szCs w:val="24"/>
          <w:lang w:eastAsia="ru-RU"/>
        </w:rPr>
        <w:t>Mellan</w:t>
      </w:r>
      <w:proofErr w:type="spellEnd"/>
      <w:r w:rsidRPr="00BD252B">
        <w:rPr>
          <w:rFonts w:ascii="Times New Roman" w:eastAsia="Times New Roman" w:hAnsi="Times New Roman" w:cs="Times New Roman"/>
          <w:sz w:val="24"/>
          <w:szCs w:val="24"/>
          <w:lang w:eastAsia="ru-RU"/>
        </w:rPr>
        <w:t xml:space="preserve"> </w:t>
      </w:r>
      <w:proofErr w:type="spellStart"/>
      <w:r w:rsidRPr="00BD252B">
        <w:rPr>
          <w:rFonts w:ascii="Times New Roman" w:eastAsia="Times New Roman" w:hAnsi="Times New Roman" w:cs="Times New Roman"/>
          <w:sz w:val="24"/>
          <w:szCs w:val="24"/>
          <w:lang w:eastAsia="ru-RU"/>
        </w:rPr>
        <w:t>insteg</w:t>
      </w:r>
      <w:proofErr w:type="spellEnd"/>
      <w:r w:rsidRPr="00BD252B">
        <w:rPr>
          <w:rFonts w:ascii="Times New Roman" w:eastAsia="Times New Roman" w:hAnsi="Times New Roman" w:cs="Times New Roman"/>
          <w:sz w:val="24"/>
          <w:szCs w:val="24"/>
          <w:lang w:eastAsia="ru-RU"/>
        </w:rPr>
        <w:t xml:space="preserve">) указывает на наличие </w:t>
      </w:r>
      <w:proofErr w:type="spellStart"/>
      <w:r w:rsidRPr="00BD252B">
        <w:rPr>
          <w:rFonts w:ascii="Times New Roman" w:eastAsia="Times New Roman" w:hAnsi="Times New Roman" w:cs="Times New Roman"/>
          <w:sz w:val="24"/>
          <w:szCs w:val="24"/>
          <w:lang w:eastAsia="ru-RU"/>
        </w:rPr>
        <w:t>бескапотной</w:t>
      </w:r>
      <w:proofErr w:type="spellEnd"/>
      <w:r w:rsidRPr="00BD252B">
        <w:rPr>
          <w:rFonts w:ascii="Times New Roman" w:eastAsia="Times New Roman" w:hAnsi="Times New Roman" w:cs="Times New Roman"/>
          <w:sz w:val="24"/>
          <w:szCs w:val="24"/>
          <w:lang w:eastAsia="ru-RU"/>
        </w:rPr>
        <w:t xml:space="preserve"> кабины со средним входом. Линейка FM занимает промежуточное положение между магистральными тягачами FH и менее мощными грузовиками для местных перевозок FL. Их главной отличительной особенностью от «собратьев» является поразительная универсальность. Если по мощности двигателя автомобили серии FM уступают более энерговооруженным тягачам FH, то по уровню комфорта и дизайну находятся на традиционно высоком для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уровне. Автомобили первого поколения FM, выпуск которого продолжался с 1998 по 2001 год, получили двигатели и ходовую часть от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FH, а кабину от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FL. Платформа также была заимствована от ранее выпускаемой модели FL7. На ее базе во второй генерации серии FM было создано 12 различных машин для строительства, городских перевозок и автомобилей для автострад. В результате эволюции грузовики FM третьего представляют собой современные машины для среднемагистральных перевозок. При этом тягачи грузоподъемностью от 18 до 50 тонн серии FM отлично справляются и с дальними перевозками, но стоят они по сравнению с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FH ощутимо дешевле. Еще в начале 2000-х годов шведский автопроизводитель стал устанавливать на серию FM менее мощные двигатели, избегая деления рынка дальних перевозок между сериями FH и FM. В настоящее время различия между автомобилями двух линеек становятся все менее заметными. И </w:t>
      </w:r>
      <w:proofErr w:type="gramStart"/>
      <w:r w:rsidRPr="00BD252B">
        <w:rPr>
          <w:rFonts w:ascii="Times New Roman" w:eastAsia="Times New Roman" w:hAnsi="Times New Roman" w:cs="Times New Roman"/>
          <w:sz w:val="24"/>
          <w:szCs w:val="24"/>
          <w:lang w:eastAsia="ru-RU"/>
        </w:rPr>
        <w:t>все-же</w:t>
      </w:r>
      <w:proofErr w:type="gramEnd"/>
      <w:r w:rsidRPr="00BD252B">
        <w:rPr>
          <w:rFonts w:ascii="Times New Roman" w:eastAsia="Times New Roman" w:hAnsi="Times New Roman" w:cs="Times New Roman"/>
          <w:sz w:val="24"/>
          <w:szCs w:val="24"/>
          <w:lang w:eastAsia="ru-RU"/>
        </w:rPr>
        <w:t>, если FH12 модно назвать стильным покорителем автострад, то FM12 – это «трудяга» с поразительно большим числом специальностей.</w:t>
      </w:r>
    </w:p>
    <w:p w:rsidR="00BD252B" w:rsidRPr="00BD252B" w:rsidRDefault="00BD252B" w:rsidP="00BD252B">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можно сравнить с конструктором, в котором к существующей базе можно подобрать необходимую для определенных производственных целей надстройку. Фактор универсальности автомобиля заслуживает самой высокой оценки. Автомобиль прекрасно зарекомендовал себя при осуществлении средн</w:t>
      </w:r>
      <w:proofErr w:type="gramStart"/>
      <w:r w:rsidRPr="00BD252B">
        <w:rPr>
          <w:rFonts w:ascii="Times New Roman" w:eastAsia="Times New Roman" w:hAnsi="Times New Roman" w:cs="Times New Roman"/>
          <w:sz w:val="24"/>
          <w:szCs w:val="24"/>
          <w:lang w:eastAsia="ru-RU"/>
        </w:rPr>
        <w:t>е-</w:t>
      </w:r>
      <w:proofErr w:type="gramEnd"/>
      <w:r w:rsidRPr="00BD252B">
        <w:rPr>
          <w:rFonts w:ascii="Times New Roman" w:eastAsia="Times New Roman" w:hAnsi="Times New Roman" w:cs="Times New Roman"/>
          <w:sz w:val="24"/>
          <w:szCs w:val="24"/>
          <w:lang w:eastAsia="ru-RU"/>
        </w:rPr>
        <w:t xml:space="preserve"> и </w:t>
      </w:r>
      <w:proofErr w:type="spellStart"/>
      <w:r w:rsidRPr="00BD252B">
        <w:rPr>
          <w:rFonts w:ascii="Times New Roman" w:eastAsia="Times New Roman" w:hAnsi="Times New Roman" w:cs="Times New Roman"/>
          <w:sz w:val="24"/>
          <w:szCs w:val="24"/>
          <w:lang w:eastAsia="ru-RU"/>
        </w:rPr>
        <w:t>дальнемагистральных</w:t>
      </w:r>
      <w:proofErr w:type="spellEnd"/>
      <w:r w:rsidRPr="00BD252B">
        <w:rPr>
          <w:rFonts w:ascii="Times New Roman" w:eastAsia="Times New Roman" w:hAnsi="Times New Roman" w:cs="Times New Roman"/>
          <w:sz w:val="24"/>
          <w:szCs w:val="24"/>
          <w:lang w:eastAsia="ru-RU"/>
        </w:rPr>
        <w:t xml:space="preserve"> перевозок, при доставке грузов, связанных с тяжелыми строительными работами, в области коммунального хозяйства, в производственной и сельскохозяйственной сфере и лесозаготовительной отрасли. На базе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устанавливаются различные виды самосвальных кузовов, простые и изотермические фургоны, платформы для перевозки легковых автомобилей, гидроподъемники, бетономешалки, автоцистерны, дорожно-строительное оборудование и многое другое. Надежная и крепкая рама позволяет также устанавливать необходимое оборудование в различных комбинациях. Автомобиль используется как самостоятельно, так и в составе автопоездов с полуприцепами и прицепами.</w:t>
      </w:r>
    </w:p>
    <w:p w:rsidR="00BD252B" w:rsidRDefault="00BD252B" w:rsidP="00BD252B">
      <w:pPr>
        <w:spacing w:after="0" w:line="240" w:lineRule="auto"/>
        <w:jc w:val="center"/>
        <w:outlineLvl w:val="1"/>
        <w:rPr>
          <w:rFonts w:ascii="Times New Roman" w:eastAsia="Times New Roman" w:hAnsi="Times New Roman" w:cs="Times New Roman"/>
          <w:b/>
          <w:bCs/>
          <w:sz w:val="36"/>
          <w:szCs w:val="36"/>
          <w:lang w:eastAsia="ru-RU"/>
        </w:rPr>
      </w:pPr>
      <w:r w:rsidRPr="00BD252B">
        <w:rPr>
          <w:rFonts w:ascii="Times New Roman" w:eastAsia="Times New Roman" w:hAnsi="Times New Roman" w:cs="Times New Roman"/>
          <w:b/>
          <w:bCs/>
          <w:sz w:val="36"/>
          <w:szCs w:val="36"/>
          <w:lang w:eastAsia="ru-RU"/>
        </w:rPr>
        <w:t>Модификации</w:t>
      </w:r>
    </w:p>
    <w:p w:rsidR="00BD252B" w:rsidRPr="00BD252B" w:rsidRDefault="00BD252B" w:rsidP="00BD252B">
      <w:pPr>
        <w:spacing w:after="0" w:line="240" w:lineRule="auto"/>
        <w:jc w:val="center"/>
        <w:outlineLvl w:val="1"/>
        <w:rPr>
          <w:rFonts w:ascii="Times New Roman" w:eastAsia="Times New Roman" w:hAnsi="Times New Roman" w:cs="Times New Roman"/>
          <w:b/>
          <w:bCs/>
          <w:sz w:val="36"/>
          <w:szCs w:val="36"/>
          <w:lang w:eastAsia="ru-RU"/>
        </w:rPr>
      </w:pPr>
    </w:p>
    <w:p w:rsidR="00BD252B" w:rsidRPr="00BD252B" w:rsidRDefault="00BD252B" w:rsidP="00BD252B">
      <w:p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 xml:space="preserve">Многофункциональность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определяет множество модификаций и комплектаций машины. Ассортимент шасси насчитывает множество вариантов с колесными формулами от 4х2 до 8х4, различными рамами, рессорными и пневматическими подвесками, КПП и мостами, силовыми установками и типами кабин. По уровню комфорта грузовики серии FM практически не отличаются от старших «собратьев». Третье поколение машин оснащается на выбор пятью типами кабин:</w:t>
      </w:r>
    </w:p>
    <w:p w:rsidR="00BD252B" w:rsidRPr="00BD252B" w:rsidRDefault="00BD252B" w:rsidP="00BD252B">
      <w:pPr>
        <w:numPr>
          <w:ilvl w:val="0"/>
          <w:numId w:val="1"/>
        </w:num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Дневной (FM-DAY) – с высотой салона 157 см и эргономичным водительским местом;</w:t>
      </w:r>
    </w:p>
    <w:p w:rsidR="00BD252B" w:rsidRPr="00BD252B" w:rsidRDefault="00BD252B" w:rsidP="00BD252B">
      <w:pPr>
        <w:numPr>
          <w:ilvl w:val="0"/>
          <w:numId w:val="1"/>
        </w:num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Спальной (FM-SLP) – с высотой салона 157 см и одним спальным местом;</w:t>
      </w:r>
    </w:p>
    <w:p w:rsidR="00BD252B" w:rsidRPr="00BD252B" w:rsidRDefault="00BD252B" w:rsidP="00BD252B">
      <w:pPr>
        <w:numPr>
          <w:ilvl w:val="0"/>
          <w:numId w:val="1"/>
        </w:num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Низкой кабиной со спальным местом (FM-LSLP) – с высотой салона 147 см и дополнительным грузовым местом над кабиной;</w:t>
      </w:r>
    </w:p>
    <w:p w:rsidR="00BD252B" w:rsidRPr="00BD252B" w:rsidRDefault="00BD252B" w:rsidP="00BD252B">
      <w:pPr>
        <w:numPr>
          <w:ilvl w:val="0"/>
          <w:numId w:val="1"/>
        </w:num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 xml:space="preserve">Кабиной </w:t>
      </w:r>
      <w:proofErr w:type="spellStart"/>
      <w:r w:rsidRPr="00BD252B">
        <w:rPr>
          <w:rFonts w:ascii="Times New Roman" w:eastAsia="Times New Roman" w:hAnsi="Times New Roman" w:cs="Times New Roman"/>
          <w:sz w:val="24"/>
          <w:szCs w:val="24"/>
          <w:lang w:eastAsia="ru-RU"/>
        </w:rPr>
        <w:t>Globetrotter</w:t>
      </w:r>
      <w:proofErr w:type="spellEnd"/>
      <w:r w:rsidRPr="00BD252B">
        <w:rPr>
          <w:rFonts w:ascii="Times New Roman" w:eastAsia="Times New Roman" w:hAnsi="Times New Roman" w:cs="Times New Roman"/>
          <w:sz w:val="24"/>
          <w:szCs w:val="24"/>
          <w:lang w:eastAsia="ru-RU"/>
        </w:rPr>
        <w:t xml:space="preserve"> (FM-HSLP) – с внутренней высотой 196 см и дополнительным вещевым отделением на уровне головы и спальными местами для двух человек;</w:t>
      </w:r>
    </w:p>
    <w:p w:rsidR="00BD252B" w:rsidRPr="00BD252B" w:rsidRDefault="00BD252B" w:rsidP="00BD252B">
      <w:pPr>
        <w:numPr>
          <w:ilvl w:val="0"/>
          <w:numId w:val="1"/>
        </w:num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 xml:space="preserve">Кабиной </w:t>
      </w:r>
      <w:proofErr w:type="spellStart"/>
      <w:r w:rsidRPr="00BD252B">
        <w:rPr>
          <w:rFonts w:ascii="Times New Roman" w:eastAsia="Times New Roman" w:hAnsi="Times New Roman" w:cs="Times New Roman"/>
          <w:sz w:val="24"/>
          <w:szCs w:val="24"/>
          <w:lang w:eastAsia="ru-RU"/>
        </w:rPr>
        <w:t>Globetrotter</w:t>
      </w:r>
      <w:proofErr w:type="spellEnd"/>
      <w:r w:rsidRPr="00BD252B">
        <w:rPr>
          <w:rFonts w:ascii="Times New Roman" w:eastAsia="Times New Roman" w:hAnsi="Times New Roman" w:cs="Times New Roman"/>
          <w:sz w:val="24"/>
          <w:szCs w:val="24"/>
          <w:lang w:eastAsia="ru-RU"/>
        </w:rPr>
        <w:t xml:space="preserve"> LXL (FM-XHSL) – с внутренней высотой 210 см и двумя спальными местами.</w:t>
      </w:r>
    </w:p>
    <w:p w:rsidR="00BD252B" w:rsidRPr="00BD252B" w:rsidRDefault="00BD252B" w:rsidP="00BD252B">
      <w:p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lastRenderedPageBreak/>
        <w:t>Комплектация самих кабин также может различаться. По заказу устанавливаются три вида водительских сидений (базовый, комфорт и люкс), два вида пассажирских сидений (стандарт и комфорт), рулевое колесо размером 450 или 500 мм. Цветовое решение кабин насчитывает более 650 вариантов. В обивке сидений и отделке салона применяется текстиль, винил, кожа и их комбинации.</w:t>
      </w:r>
    </w:p>
    <w:p w:rsidR="00BD252B" w:rsidRPr="00BD252B" w:rsidRDefault="00BD252B" w:rsidP="00BD252B">
      <w:pPr>
        <w:spacing w:after="0" w:line="240" w:lineRule="auto"/>
        <w:rPr>
          <w:rFonts w:ascii="Times New Roman" w:eastAsia="Times New Roman" w:hAnsi="Times New Roman" w:cs="Times New Roman"/>
          <w:sz w:val="24"/>
          <w:szCs w:val="24"/>
          <w:lang w:eastAsia="ru-RU"/>
        </w:rPr>
      </w:pPr>
    </w:p>
    <w:p w:rsidR="00BD252B" w:rsidRPr="00BD252B" w:rsidRDefault="00BD252B" w:rsidP="00BD252B">
      <w:pPr>
        <w:spacing w:after="0" w:line="240" w:lineRule="auto"/>
        <w:rPr>
          <w:rFonts w:ascii="Times New Roman" w:eastAsia="Times New Roman" w:hAnsi="Times New Roman" w:cs="Times New Roman"/>
          <w:sz w:val="24"/>
          <w:szCs w:val="24"/>
          <w:lang w:eastAsia="ru-RU"/>
        </w:rPr>
      </w:pPr>
      <w:proofErr w:type="gramStart"/>
      <w:r w:rsidRPr="00BD252B">
        <w:rPr>
          <w:rFonts w:ascii="Times New Roman" w:eastAsia="Times New Roman" w:hAnsi="Times New Roman" w:cs="Times New Roman"/>
          <w:sz w:val="24"/>
          <w:szCs w:val="24"/>
          <w:lang w:eastAsia="ru-RU"/>
        </w:rPr>
        <w:t>В зависимости от назначения машины, высота шасси представлена в пяти вариантах от сверхнизкой для седельных тягачей (810мм) до высокой (около 1000 см).</w:t>
      </w:r>
      <w:proofErr w:type="gramEnd"/>
      <w:r w:rsidRPr="00BD252B">
        <w:rPr>
          <w:rFonts w:ascii="Times New Roman" w:eastAsia="Times New Roman" w:hAnsi="Times New Roman" w:cs="Times New Roman"/>
          <w:sz w:val="24"/>
          <w:szCs w:val="24"/>
          <w:lang w:eastAsia="ru-RU"/>
        </w:rPr>
        <w:t xml:space="preserve"> Предлагается также несколько конфигураций поддерживающих мостов:</w:t>
      </w:r>
    </w:p>
    <w:p w:rsidR="00BD252B" w:rsidRPr="00BD252B" w:rsidRDefault="00BD252B" w:rsidP="00BD252B">
      <w:pPr>
        <w:numPr>
          <w:ilvl w:val="0"/>
          <w:numId w:val="2"/>
        </w:num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Неподвижный односкатный или двухскатный;</w:t>
      </w:r>
    </w:p>
    <w:p w:rsidR="00BD252B" w:rsidRPr="00BD252B" w:rsidRDefault="00BD252B" w:rsidP="00BD252B">
      <w:pPr>
        <w:numPr>
          <w:ilvl w:val="0"/>
          <w:numId w:val="2"/>
        </w:numPr>
        <w:spacing w:after="0" w:line="240" w:lineRule="auto"/>
        <w:rPr>
          <w:rFonts w:ascii="Times New Roman" w:eastAsia="Times New Roman" w:hAnsi="Times New Roman" w:cs="Times New Roman"/>
          <w:sz w:val="24"/>
          <w:szCs w:val="24"/>
          <w:lang w:eastAsia="ru-RU"/>
        </w:rPr>
      </w:pPr>
      <w:proofErr w:type="spellStart"/>
      <w:r w:rsidRPr="00BD252B">
        <w:rPr>
          <w:rFonts w:ascii="Times New Roman" w:eastAsia="Times New Roman" w:hAnsi="Times New Roman" w:cs="Times New Roman"/>
          <w:sz w:val="24"/>
          <w:szCs w:val="24"/>
          <w:lang w:eastAsia="ru-RU"/>
        </w:rPr>
        <w:t>Самоподруливающий</w:t>
      </w:r>
      <w:proofErr w:type="spellEnd"/>
      <w:r w:rsidRPr="00BD252B">
        <w:rPr>
          <w:rFonts w:ascii="Times New Roman" w:eastAsia="Times New Roman" w:hAnsi="Times New Roman" w:cs="Times New Roman"/>
          <w:sz w:val="24"/>
          <w:szCs w:val="24"/>
          <w:lang w:eastAsia="ru-RU"/>
        </w:rPr>
        <w:t>;</w:t>
      </w:r>
    </w:p>
    <w:p w:rsidR="00BD252B" w:rsidRPr="00BD252B" w:rsidRDefault="00BD252B" w:rsidP="00BD252B">
      <w:pPr>
        <w:numPr>
          <w:ilvl w:val="0"/>
          <w:numId w:val="2"/>
        </w:num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Мост с активным управлением.</w:t>
      </w:r>
    </w:p>
    <w:p w:rsidR="00BD252B" w:rsidRPr="00BD252B" w:rsidRDefault="00BD252B" w:rsidP="00BD252B">
      <w:p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Для седельных тягачей и кузовных машин предлагаются неподвижные и управляемые подъемные мосты с осевой нагрузкой 7,5 или 9 тонн.</w:t>
      </w:r>
    </w:p>
    <w:p w:rsidR="00BD252B" w:rsidRPr="00BD252B" w:rsidRDefault="00BD252B" w:rsidP="00BD252B">
      <w:p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 xml:space="preserve">На Российском рынке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чаще всего </w:t>
      </w:r>
      <w:proofErr w:type="gramStart"/>
      <w:r w:rsidRPr="00BD252B">
        <w:rPr>
          <w:rFonts w:ascii="Times New Roman" w:eastAsia="Times New Roman" w:hAnsi="Times New Roman" w:cs="Times New Roman"/>
          <w:sz w:val="24"/>
          <w:szCs w:val="24"/>
          <w:lang w:eastAsia="ru-RU"/>
        </w:rPr>
        <w:t>представлены</w:t>
      </w:r>
      <w:proofErr w:type="gramEnd"/>
      <w:r w:rsidRPr="00BD252B">
        <w:rPr>
          <w:rFonts w:ascii="Times New Roman" w:eastAsia="Times New Roman" w:hAnsi="Times New Roman" w:cs="Times New Roman"/>
          <w:sz w:val="24"/>
          <w:szCs w:val="24"/>
          <w:lang w:eastAsia="ru-RU"/>
        </w:rPr>
        <w:t xml:space="preserve"> в самосвальных, развозных, и магистральных модификациях.</w:t>
      </w:r>
    </w:p>
    <w:p w:rsidR="00BD252B" w:rsidRDefault="00BD252B" w:rsidP="00BD252B">
      <w:pPr>
        <w:spacing w:after="0" w:line="240" w:lineRule="auto"/>
        <w:jc w:val="center"/>
        <w:outlineLvl w:val="2"/>
        <w:rPr>
          <w:rFonts w:ascii="Times New Roman" w:eastAsia="Times New Roman" w:hAnsi="Times New Roman" w:cs="Times New Roman"/>
          <w:b/>
          <w:bCs/>
          <w:sz w:val="27"/>
          <w:szCs w:val="27"/>
          <w:lang w:eastAsia="ru-RU"/>
        </w:rPr>
      </w:pPr>
      <w:r w:rsidRPr="00BD252B">
        <w:rPr>
          <w:rFonts w:ascii="Times New Roman" w:eastAsia="Times New Roman" w:hAnsi="Times New Roman" w:cs="Times New Roman"/>
          <w:b/>
          <w:bCs/>
          <w:sz w:val="27"/>
          <w:szCs w:val="27"/>
          <w:lang w:eastAsia="ru-RU"/>
        </w:rPr>
        <w:t>Самосвалы</w:t>
      </w:r>
    </w:p>
    <w:p w:rsidR="00BD252B" w:rsidRPr="00BD252B" w:rsidRDefault="00BD252B" w:rsidP="00BD252B">
      <w:pPr>
        <w:spacing w:after="0" w:line="240" w:lineRule="auto"/>
        <w:jc w:val="center"/>
        <w:outlineLvl w:val="2"/>
        <w:rPr>
          <w:rFonts w:ascii="Times New Roman" w:eastAsia="Times New Roman" w:hAnsi="Times New Roman" w:cs="Times New Roman"/>
          <w:b/>
          <w:bCs/>
          <w:sz w:val="27"/>
          <w:szCs w:val="27"/>
          <w:lang w:eastAsia="ru-RU"/>
        </w:rPr>
      </w:pPr>
      <w:bookmarkStart w:id="0" w:name="_GoBack"/>
      <w:bookmarkEnd w:id="0"/>
    </w:p>
    <w:p w:rsidR="00BD252B" w:rsidRPr="00BD252B" w:rsidRDefault="00BD252B" w:rsidP="00BD252B">
      <w:pPr>
        <w:spacing w:after="0" w:line="240" w:lineRule="auto"/>
        <w:rPr>
          <w:rFonts w:ascii="Times New Roman" w:eastAsia="Times New Roman" w:hAnsi="Times New Roman" w:cs="Times New Roman"/>
          <w:sz w:val="24"/>
          <w:szCs w:val="24"/>
          <w:lang w:eastAsia="ru-RU"/>
        </w:rPr>
      </w:pPr>
      <w:r w:rsidRPr="00BD252B">
        <w:rPr>
          <w:rFonts w:ascii="Times New Roman" w:eastAsia="Times New Roman" w:hAnsi="Times New Roman" w:cs="Times New Roman"/>
          <w:sz w:val="24"/>
          <w:szCs w:val="24"/>
          <w:lang w:eastAsia="ru-RU"/>
        </w:rPr>
        <w:t xml:space="preserve">Самосвальные версии обычно украшают желтые проблесковые сигналы. Полная масса автомобилей с колесной формулой 6х4 и 6х6 составляет порядка 26 тонн. Вес модификаций 8х4 достигает 32 тонн. Обычно самосвальные версии комплектуются либо новым 9-ти литровым мотором, либо 12-ти литровым D12, позаимствованным у старшей серии FH. Шведские автомобилестроители, заботясь о безопасности, даже на самосвалах устанавливают камеры заднего вида. При включении зажигания из передней панели выдвигается </w:t>
      </w:r>
      <w:proofErr w:type="gramStart"/>
      <w:r w:rsidRPr="00BD252B">
        <w:rPr>
          <w:rFonts w:ascii="Times New Roman" w:eastAsia="Times New Roman" w:hAnsi="Times New Roman" w:cs="Times New Roman"/>
          <w:sz w:val="24"/>
          <w:szCs w:val="24"/>
          <w:lang w:eastAsia="ru-RU"/>
        </w:rPr>
        <w:t>ЖК дисплей</w:t>
      </w:r>
      <w:proofErr w:type="gramEnd"/>
      <w:r w:rsidRPr="00BD252B">
        <w:rPr>
          <w:rFonts w:ascii="Times New Roman" w:eastAsia="Times New Roman" w:hAnsi="Times New Roman" w:cs="Times New Roman"/>
          <w:sz w:val="24"/>
          <w:szCs w:val="24"/>
          <w:lang w:eastAsia="ru-RU"/>
        </w:rPr>
        <w:t>, на который передается изображение с установленной под кузовом камеры.</w:t>
      </w:r>
    </w:p>
    <w:p w:rsidR="000E5ABB" w:rsidRDefault="000E5ABB" w:rsidP="00BD252B">
      <w:pPr>
        <w:spacing w:after="0"/>
      </w:pPr>
    </w:p>
    <w:sectPr w:rsidR="000E5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9C8"/>
    <w:multiLevelType w:val="multilevel"/>
    <w:tmpl w:val="690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B5966"/>
    <w:multiLevelType w:val="multilevel"/>
    <w:tmpl w:val="EF0C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B2"/>
    <w:rsid w:val="000E5ABB"/>
    <w:rsid w:val="0052150E"/>
    <w:rsid w:val="006171B2"/>
    <w:rsid w:val="00BD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2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5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5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5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25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2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5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5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5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25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2018-03-02T14:44:00Z</dcterms:created>
  <dcterms:modified xsi:type="dcterms:W3CDTF">2018-03-02T14:46:00Z</dcterms:modified>
</cp:coreProperties>
</file>