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F5" w:rsidRDefault="004F1D47" w:rsidP="00714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23D8E2" wp14:editId="0C4426A7">
            <wp:simplePos x="0" y="0"/>
            <wp:positionH relativeFrom="margin">
              <wp:posOffset>676275</wp:posOffset>
            </wp:positionH>
            <wp:positionV relativeFrom="margin">
              <wp:posOffset>721995</wp:posOffset>
            </wp:positionV>
            <wp:extent cx="5165725" cy="32289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FF5" w:rsidRPr="00A83FF5">
        <w:t xml:space="preserve"> </w:t>
      </w:r>
      <w:r w:rsidR="00714ACA" w:rsidRPr="00714A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02-258 Magirus-Deutz 290D26L 6х4 бортовой грузовик для работы в тяжёлых условиях гп 16.6 тн, площадь платформы 11 м2, мест 3, полный вес 26 тн, F10L413 310 лс, 73 км/час, проект «Дельта»</w:t>
      </w:r>
      <w:r w:rsidR="00714A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KHD AG Германия, 1974-76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CA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C8" w:rsidRDefault="00714ACA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7022C8"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Magírus-Deutz</w:t>
      </w:r>
      <w:proofErr w:type="spellEnd"/>
      <w:r w:rsidR="007022C8"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232D19, 290D26 — строительные грузовые автомобили, производившиеся германской автомобилестроительной фирмой </w:t>
      </w:r>
      <w:proofErr w:type="spellStart"/>
      <w:r w:rsidR="007022C8"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Magirus-Deutz</w:t>
      </w:r>
      <w:proofErr w:type="spellEnd"/>
      <w:r w:rsidR="007022C8"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первоначально дочерним предприятием акционерной компании </w:t>
      </w:r>
      <w:proofErr w:type="spellStart"/>
      <w:r w:rsidR="007022C8"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Klöckner-Humboldt-Deutz</w:t>
      </w:r>
      <w:proofErr w:type="spellEnd"/>
      <w:r w:rsidR="007022C8"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AG (KHD), с 1 января 1975 года — концерна </w:t>
      </w:r>
      <w:proofErr w:type="spellStart"/>
      <w:r w:rsidR="007022C8"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Iveco</w:t>
      </w:r>
      <w:proofErr w:type="spellEnd"/>
      <w:r w:rsidR="007022C8"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Грузовики были предназначены для работы в трудных климатических и плохих дорожных условиях. В 1975—76 годах поставлялись в</w:t>
      </w:r>
      <w:r w:rsidR="0070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в рамках </w:t>
      </w:r>
      <w:r w:rsidR="007022C8"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„Дельта“ для работы на строительстве БАМа, и других объектов Дальнего Востока, Сибири, Кольского полуострова и Северного Казахстана. </w:t>
      </w:r>
    </w:p>
    <w:p w:rsidR="00987DA2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Delta-Projekt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«Дельта» — контракт на поставку в СССР более 10 000 тяжёлых строительных автомобилей на сумму около 1,1 </w:t>
      </w:r>
      <w:proofErr w:type="gram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немецких марок, заключённый в 1974 году между западногерманской автомобилестроительной фирмой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Magirus-Deutz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советской внешнеторговой организацией «Автоэкспорт». Контракт на поставку автомобилей был подписан представителями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Magirus-Deutz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«Автоэкспорт» в Москве 2 октября 1974 года. Западногерманская фирма была обязана в 1975—1976 годах поставить в СССР около 9 500 тяжёлых самосвалов и бортовых грузовиков, около 1000 тягачей, погрузчиков и другой строительной техники на шасси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Магирусов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же контракте предусматривалась поставка запасных частей и оборудования, необходимых для обслуживания и ремонта автомобилей. Сумма торговой сделки составила около 1,1 млрд</w:t>
      </w:r>
      <w:r w:rsidR="00A83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немецких марок. Основную часть заказа составили автомобили двух вариантов: 14-тонные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K/L (6х4, 290 л. </w:t>
      </w:r>
      <w:proofErr w:type="gram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10-тонные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K/L (4х2, 232 л. с.).</w:t>
      </w:r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на шасси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(самосвальные кузова, транспортировщики бетона, ёмкости для жидкостей, лесовозные прицепы, автомастерские) производили также германские фирмы: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Kässbohrer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Klas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Kögel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Orenstein&amp;Koppel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>Meiller-Kipper</w:t>
      </w:r>
      <w:proofErr w:type="spellEnd"/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987DA2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ноября 1976 года в СССР был отправлен последний грузовик проекта «Дельта».</w:t>
      </w:r>
    </w:p>
    <w:p w:rsidR="007022C8" w:rsidRPr="000E2210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советскими автомобилями,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Магирусы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 более высокие динамические качества, хорошие эксплуатационные и экономические показатели, отличались комфортабельностью и лёгкостью в управлении в любых климатических и дорожных условиях. </w:t>
      </w:r>
    </w:p>
    <w:p w:rsidR="007022C8" w:rsidRPr="000E2210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</w:t>
      </w:r>
      <w:proofErr w:type="gram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 концу 60-х — началу 70-х большинство ведущих западно-европейских производителей-конкурентов (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Daimler-Benz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MAN) стало полностью переходить на производство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бескапотных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грузовиков,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Magirus-Deutz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имевший в своей программе данный тип, в начале 1971 года для «консервативных» клиентов, предпочитавших </w:t>
      </w:r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иметь перед собой в случае аварии «зону безопасности», всё же представил на автомобильный рынок новое поколение грузовиков — «строительные быки» (нем.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Baubullen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имевшее классическое расположение двигателя — перед кабиной водителя. К этому модельному ряду относились и грузовики, в 1975-76 г. экспортируемые в СССР.</w:t>
      </w:r>
    </w:p>
    <w:p w:rsidR="007022C8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массу поставо</w:t>
      </w:r>
      <w:proofErr w:type="gram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в СССР</w:t>
      </w:r>
      <w:proofErr w:type="gram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бортовые и самосвальные грузовые автомобили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290D26, а также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232D19. Кроме этого, на шасси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290D26 поставлялись: седельные тягачи с полуприцепами-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трубовозами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получившие обозначение 290D26S;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автобетоносмесители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ёмкостью 6,5 м³ производства фирмы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Joseph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Vögele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фургоны-автомастерские для ремонта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Магирусов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увеличения площади мастерской фургон раздвигался до ширины 3,75 м),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оборудованые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фирмой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Rhein-Bayern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фургоны-автомастерские производства и комплектации фирмы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Orenstein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Koppel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ремонта строительной техники, которые дополнительно комплектовались прицепами с дизельными электростанциями и воздушными компрессорами. На шасси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232D19 поставлялись фургоны-автомастерские фирмы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Orenstein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Koppel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ремонта и заправки смазочными материалами. Часть заказа на более мощные тягачи KHD передало компании FAUN, использовавшей на своих машинах двигатели </w:t>
      </w:r>
      <w:proofErr w:type="spellStart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Deutz</w:t>
      </w:r>
      <w:proofErr w:type="spellEnd"/>
      <w:r w:rsidRPr="000E2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2C8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7D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</w:t>
      </w:r>
      <w:proofErr w:type="gramEnd"/>
      <w:r w:rsidRPr="0008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поставляемые по контракту 1974 года имели яркий оранжевый цвет, фургоны-автомастерские окрашивались в ярко красный цвет.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были проведены серьезные испытания, решили купить немецкие самосвалы компании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Magirus-Deutz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74-ом году с ней подписали контракт на поставку более девяти тысяч машин, таких как грузовики и самосвалы.</w:t>
      </w:r>
    </w:p>
    <w:p w:rsidR="007022C8" w:rsidRPr="00642F55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унификацией производства, все новые капотные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Магирусы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 совершенно идентичные кабины, моторные отсеки (капоты), переднюю облицовку и крылья передних колёс. В зависимости от устанавливаемого двигателя варьировалась лишь длина капота: 1 036 мм для 8-цилиндрового двигателя на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232D19, 1 200 мм для 10-цилиндрового на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Magirus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290D26. Кабины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бамовских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Магирусов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трёхместными, цельнометаллическими,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термо-шумоизолированными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панорамными трёхслойными ветровыми стеклами и регулируемыми эргономическими сиденьями для водителей.</w:t>
      </w:r>
    </w:p>
    <w:p w:rsidR="007022C8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раме водительская кабина крепилась: спереди — с помощью двух кронштейнов и резиновых подушек, сзади — на резиновой подушке в центре опорной дуги, прикреплённой перпендикулярно к лонжеронам рамы. Кроме этого, для </w:t>
      </w:r>
      <w:proofErr w:type="gram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плавного</w:t>
      </w:r>
      <w:proofErr w:type="gram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качания кабины во время движения по неровностям, сзади с каждой её стороны было установлено по два гидравлических амортизатора.</w:t>
      </w:r>
    </w:p>
    <w:p w:rsidR="007022C8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 крыльев передних колёс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Магирусов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 защитные резиновые покрытия, на крыльях были смонтированы лампы указателей поворотов круглой формы и пружинные «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антены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служившие обозначением габаритов автомобиля и видимые водителю с его места. </w:t>
      </w:r>
      <w:proofErr w:type="gram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стандартной комплектации, предполагавшей только две передние прямоугольные осветительные фары, размещённые в бампере, но конструкционно от него независящие (в случае небольшой деформации бампера по каким-либо причинам, фары сохраняли направленность света),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бамовские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Магирусы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 четыре фары — дополнительно две круглые, закреплённые сверху на бампере.</w:t>
      </w:r>
      <w:proofErr w:type="gram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четыре фары закрывались защитными решетками. Ещё одним отличием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Магирусов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собираемых для Советского Союза, от стандартных моделей было наличие вдоль передних углов кабины двух вертикальных воздухозаборников, необходимость которых была вызвана условиями эксплуатации грузовиков практически вне автодорог с твёрдым покрытием.</w:t>
      </w:r>
    </w:p>
    <w:p w:rsidR="007022C8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обогрева кабины были установлены две автономные «печки» — отопительно-вентиляционные установки фирмы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Webasto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работавшие на дизельном топливе, с отдельным бачком для 2-2,5 литров топлива, которого, в зависимости от наружной температуры, хватало на обогрев в течение двух — восьми часов при неработающем двигателе. Один из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отопителей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располагался под кабиной у правой подножки, другой был закреплён снаружи сзади кабины на левом лонжероне рамы, он использовался также для обогрева аккумуляторов. Во время эксплуатации автомобиля обогрев кабины мог осуществляться также и от двигателя.</w:t>
      </w:r>
    </w:p>
    <w:p w:rsidR="007022C8" w:rsidRPr="00642F55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эффективной очистке топлива, воздуха и масла, надёжным системам питания и выпуска отработавших газов, высокой степени сжатия топливной смеси, у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Магирусов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достигнута высокая литровая мощность и минимальный удельный расход топлива. Двигатели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Магирусов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условиях суровых сибирских зим, имели значительные преимущества перед другими аналогичного класса двигателями, и в частности с водяным охлаждением, строившимися в то время.</w:t>
      </w:r>
    </w:p>
    <w:p w:rsidR="007022C8" w:rsidRPr="00642F55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двигателями водяного охлаждения до 20 % уменьшалось количество неисправностей (не герметичность радиатора и трубопроводов, отказы в работе термостата и т. п.), исключалась возможность замораживания двигателя, обеспечивались лучшие пусковые качества, без предварительного подогрева при температуре окружающего воздуха до −15 °C, а с использованием устройства облегчения пуска двигателя — до −25 °C.</w:t>
      </w:r>
      <w:proofErr w:type="gramEnd"/>
    </w:p>
    <w:p w:rsidR="007022C8" w:rsidRPr="00642F55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высокое среднее значение температуры цилиндров работающего двигателя способствовало не такому быстрому образованию нагара на стенках камеры сгорания и соответственно, уменьшению потери первоначальной мощности.</w:t>
      </w:r>
    </w:p>
    <w:p w:rsidR="00987DA2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Меньшая масса двигателя способствовала его более быстрому прогреву и соответственно, уменьшению износа деталей кривошипно-шатунного механизма.</w:t>
      </w:r>
      <w:r w:rsidR="0083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Цилиндры и головки цилиндров были раздельными и взаимозаменяемыми, что было более удобно при ремонте.</w:t>
      </w:r>
      <w:r w:rsidR="0098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</w:t>
      </w:r>
      <w:proofErr w:type="spellStart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распредвала</w:t>
      </w:r>
      <w:proofErr w:type="spellEnd"/>
      <w:r w:rsidRPr="00642F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топливного насоса высокого давления и вала привода вентилятора с гидромуфтой в развале между цилиндрами обеспечивало удобный доступ для обслуживания и ремонта.</w:t>
      </w:r>
    </w:p>
    <w:p w:rsidR="007022C8" w:rsidRDefault="00987DA2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Грузовики и</w:t>
      </w:r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мели конструктивные особенности: мощные дизельные двигатели воздушного охлаждения с автоматической регулировкой теплового режима, несинхронизированные </w:t>
      </w:r>
      <w:proofErr w:type="spellStart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шестиступенчатые</w:t>
      </w:r>
      <w:proofErr w:type="spellEnd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 передач, эффективные системы отопления и вентиляции водительских кабин, стояночные тормоза с </w:t>
      </w:r>
      <w:proofErr w:type="gramStart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пружинными</w:t>
      </w:r>
      <w:proofErr w:type="gramEnd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энергоаккумуляторами</w:t>
      </w:r>
      <w:proofErr w:type="spellEnd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этого, трёхосные грузовики оснащались межосевой и </w:t>
      </w:r>
      <w:proofErr w:type="spellStart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межколёсной</w:t>
      </w:r>
      <w:proofErr w:type="spellEnd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блокировкой дифференциалов, на промежуточных мостах — цилиндрическими редукторами (вместо раздаточных коробок). Большинство агрегатов и узлов, применяемых на </w:t>
      </w:r>
      <w:proofErr w:type="spellStart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Магирусах</w:t>
      </w:r>
      <w:proofErr w:type="spellEnd"/>
      <w:r w:rsidR="007022C8" w:rsidRPr="004126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конструктивно значительно отличались от производившихся в советском автомобилестроении и были несколько сложней отечественных аналогов.</w:t>
      </w:r>
    </w:p>
    <w:p w:rsidR="007022C8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1"/>
        <w:gridCol w:w="2049"/>
        <w:gridCol w:w="1984"/>
        <w:gridCol w:w="1825"/>
        <w:gridCol w:w="1715"/>
      </w:tblGrid>
      <w:tr w:rsidR="007022C8" w:rsidRPr="000C5BAE" w:rsidTr="00F132D5">
        <w:trPr>
          <w:trHeight w:val="276"/>
        </w:trPr>
        <w:tc>
          <w:tcPr>
            <w:tcW w:w="10344" w:type="dxa"/>
            <w:gridSpan w:val="5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 автомобилей </w:t>
            </w:r>
            <w:proofErr w:type="spell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Magirus</w:t>
            </w:r>
            <w:proofErr w:type="spellEnd"/>
          </w:p>
        </w:tc>
      </w:tr>
      <w:tr w:rsidR="007022C8" w:rsidRPr="000C5BAE" w:rsidTr="00F132D5">
        <w:tc>
          <w:tcPr>
            <w:tcW w:w="2771" w:type="dxa"/>
            <w:vMerge w:val="restart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3" w:type="dxa"/>
            <w:gridSpan w:val="4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4F2324" wp14:editId="7303F517">
                  <wp:extent cx="4667097" cy="480455"/>
                  <wp:effectExtent l="0" t="0" r="635" b="0"/>
                  <wp:docPr id="1" name="Рисунок 1" descr="http://www.gruzovikpress.ru/article/1197-gruzoviki-magirus-v-sssr-sibirskaya-magirusiada/img/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uzovikpress.ru/article/1197-gruzoviki-magirus-v-sssr-sibirskaya-magirusiada/img/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954" cy="49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2C8" w:rsidRPr="000C5BAE" w:rsidTr="00F132D5">
        <w:tc>
          <w:tcPr>
            <w:tcW w:w="2771" w:type="dxa"/>
            <w:vMerge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Magirus</w:t>
            </w:r>
            <w:proofErr w:type="spellEnd"/>
            <w:r w:rsidRPr="000C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232D19L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Magirus</w:t>
            </w:r>
            <w:proofErr w:type="spellEnd"/>
            <w:r w:rsidRPr="000C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290D26L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Magirus</w:t>
            </w:r>
            <w:proofErr w:type="spellEnd"/>
            <w:r w:rsidRPr="000C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232D19K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Magirus</w:t>
            </w:r>
            <w:proofErr w:type="spellEnd"/>
            <w:r w:rsidRPr="000C5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290D26K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16 600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шасси 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</w:t>
            </w:r>
            <w:proofErr w:type="gramEnd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снаряженная/ допустимая полная, кг</w:t>
            </w:r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5125/ 19 000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6565/ 26 000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5125/ 19 000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7565/ 26 000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полной массы на переднюю ось/ заднюю тележку, 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6000/ 13 000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6000/ 20 000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6000/ 13 000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6000/ 20 000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 по колее переднего наружного колеса, 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BA4A57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7022C8"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с полной нагрузкой, </w:t>
            </w:r>
            <w:proofErr w:type="gramStart"/>
            <w:r w:rsidR="007022C8"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7022C8"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автомобилей, 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7000х2490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х2800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7650х2490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х2800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7100х2490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х3100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8180х2490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х3100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3850+1380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3850+1380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вместимость кузова, м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(6,8*)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 (11,2*)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колес, 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1968/ 1809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1968/ 1809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1968/ 1809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1968/ 1809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Дорожный просвет, 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2049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5" w:type="dxa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  <w:p w:rsidR="00B21D8A" w:rsidRDefault="00B21D8A" w:rsidP="00BA4A57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2C8" w:rsidRPr="000C5BAE" w:rsidRDefault="007022C8" w:rsidP="00BA4A57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объем, cм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7022C8" w:rsidRPr="000C5BAE" w:rsidRDefault="007022C8" w:rsidP="00BA4A57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2C8" w:rsidRPr="000C5BAE" w:rsidRDefault="007022C8" w:rsidP="00BA4A57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2C8" w:rsidRPr="000C5BAE" w:rsidRDefault="007022C8" w:rsidP="00BA4A57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</w:t>
            </w:r>
            <w:proofErr w:type="spellEnd"/>
          </w:p>
        </w:tc>
        <w:tc>
          <w:tcPr>
            <w:tcW w:w="2049" w:type="dxa"/>
            <w:hideMark/>
          </w:tcPr>
          <w:p w:rsidR="007022C8" w:rsidRPr="000C5BAE" w:rsidRDefault="007022C8" w:rsidP="00B2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F8L413 </w:t>
            </w:r>
            <w:r w:rsidR="00B21D8A"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V-8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дизель,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11 310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248 при 2650 мин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656 при 1200–1600 мин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1984" w:type="dxa"/>
            <w:hideMark/>
          </w:tcPr>
          <w:p w:rsidR="007022C8" w:rsidRPr="000C5BAE" w:rsidRDefault="007022C8" w:rsidP="00B2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F10L413 </w:t>
            </w:r>
            <w:r w:rsidR="00B21D8A"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V-10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дизель,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14 137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310 при 2650 мин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809 при 1200–1600 мин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1825" w:type="dxa"/>
            <w:hideMark/>
          </w:tcPr>
          <w:p w:rsidR="007022C8" w:rsidRPr="000C5BAE" w:rsidRDefault="007022C8" w:rsidP="00B2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F8L413 </w:t>
            </w:r>
            <w:r w:rsidR="00B21D8A"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V-8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дизель,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11 310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248 при 2650 мин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656 при 1200–1600 мин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1715" w:type="dxa"/>
            <w:hideMark/>
          </w:tcPr>
          <w:p w:rsidR="007022C8" w:rsidRPr="000C5BAE" w:rsidRDefault="007022C8" w:rsidP="00B2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F10L413 </w:t>
            </w:r>
            <w:r w:rsidR="00B21D8A"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V-10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дизель,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14 137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310 при 2650 мин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809 при 1200–1600 мин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7022C8" w:rsidRPr="000C5BAE" w:rsidTr="00F132D5">
        <w:tc>
          <w:tcPr>
            <w:tcW w:w="2771" w:type="dxa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7573" w:type="dxa"/>
            <w:gridSpan w:val="4"/>
            <w:hideMark/>
          </w:tcPr>
          <w:p w:rsidR="007022C8" w:rsidRPr="000C5BAE" w:rsidRDefault="007022C8" w:rsidP="00BA4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6-ступенчатая</w:t>
            </w:r>
          </w:p>
        </w:tc>
      </w:tr>
      <w:tr w:rsidR="007022C8" w:rsidRPr="000C5BAE" w:rsidTr="00F132D5">
        <w:tc>
          <w:tcPr>
            <w:tcW w:w="10344" w:type="dxa"/>
            <w:gridSpan w:val="5"/>
            <w:hideMark/>
          </w:tcPr>
          <w:p w:rsidR="007022C8" w:rsidRPr="000C5BAE" w:rsidRDefault="007022C8" w:rsidP="00BA4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*Насыпной объем «с шапкой», м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022C8" w:rsidRPr="000E2210" w:rsidRDefault="007022C8" w:rsidP="00BA4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BA4A57">
      <w:pPr>
        <w:spacing w:after="0" w:line="240" w:lineRule="auto"/>
      </w:pPr>
    </w:p>
    <w:sectPr w:rsidR="000E5ABB" w:rsidSect="00BA4A57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FE6"/>
    <w:multiLevelType w:val="multilevel"/>
    <w:tmpl w:val="C33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48"/>
    <w:rsid w:val="000E5ABB"/>
    <w:rsid w:val="003C77C6"/>
    <w:rsid w:val="004F1D47"/>
    <w:rsid w:val="0052150E"/>
    <w:rsid w:val="007022C8"/>
    <w:rsid w:val="00714ACA"/>
    <w:rsid w:val="00757728"/>
    <w:rsid w:val="00830B26"/>
    <w:rsid w:val="00987DA2"/>
    <w:rsid w:val="00A26C00"/>
    <w:rsid w:val="00A47F48"/>
    <w:rsid w:val="00A83FF5"/>
    <w:rsid w:val="00B21D8A"/>
    <w:rsid w:val="00B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2018-11-09T06:57:00Z</dcterms:created>
  <dcterms:modified xsi:type="dcterms:W3CDTF">2021-03-27T07:33:00Z</dcterms:modified>
</cp:coreProperties>
</file>