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D3BCC">
        <w:rPr>
          <w:rFonts w:ascii="Times New Roman" w:hAnsi="Times New Roman" w:cs="Times New Roman"/>
          <w:b/>
          <w:sz w:val="32"/>
          <w:szCs w:val="32"/>
        </w:rPr>
        <w:t>Асфальтоукладчик</w:t>
      </w:r>
      <w:proofErr w:type="spellEnd"/>
      <w:r w:rsidRPr="000D3B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3BCC">
        <w:rPr>
          <w:rFonts w:ascii="Times New Roman" w:hAnsi="Times New Roman" w:cs="Times New Roman"/>
          <w:b/>
          <w:sz w:val="32"/>
          <w:szCs w:val="32"/>
        </w:rPr>
        <w:t>Vogele</w:t>
      </w:r>
      <w:proofErr w:type="spellEnd"/>
      <w:r w:rsidRPr="000D3BC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3BCC">
        <w:rPr>
          <w:rFonts w:ascii="Times New Roman" w:hAnsi="Times New Roman" w:cs="Times New Roman"/>
          <w:b/>
          <w:sz w:val="32"/>
          <w:szCs w:val="32"/>
        </w:rPr>
        <w:t>Super</w:t>
      </w:r>
      <w:proofErr w:type="spellEnd"/>
      <w:r w:rsidRPr="000D3BCC">
        <w:rPr>
          <w:rFonts w:ascii="Times New Roman" w:hAnsi="Times New Roman" w:cs="Times New Roman"/>
          <w:b/>
          <w:sz w:val="32"/>
          <w:szCs w:val="32"/>
        </w:rPr>
        <w:t xml:space="preserve"> 1803-2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 SUPER 1803-2 является самым высокопроизводительным среди колесных укладчиков фирмы VOGELE. Оптимальным образом в нем сочетаются агрегаты подачи и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распределителения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смеси, большая ширина укладки (до 8 м), высокая маневренность и хорошие скоростные характеристики. Даже при больших неровностях его статически определенная ходовая часть гарантирует постоянный контакт ведущих колес с поверхностью. Управление машиной 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значительно упрощено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 xml:space="preserve"> благодаря системе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>®.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 </w:t>
      </w:r>
      <w:r w:rsidRPr="000D3BCC">
        <w:rPr>
          <w:rFonts w:ascii="Times New Roman" w:hAnsi="Times New Roman" w:cs="Times New Roman"/>
          <w:sz w:val="24"/>
          <w:szCs w:val="24"/>
        </w:rPr>
        <w:t xml:space="preserve">SUPER 1803-2 - 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высокопроизводительный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 xml:space="preserve"> колесный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асфальтоукладчик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Vogele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. В нем оптимальным образом совмещены надежная подача материала, большая рабочая ширина (до 8 м), высокая маневренность и легкость транспортировки своим ходом. Статически определенная ходовая часть даже на очень неровной поверхности сохраняет постоянный контакт с ней ведущих колес. Одним из наиболее впечатляющих новшеств является концепция управления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Vogele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, благодаря которой управление машинами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Vogele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стало особенно простым. Машинист получил современное,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эргономически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продуманное рабочее место, отвечающее самым строгим требованиям. В результате, SUPER 1803-2 устанавливает новые масштабы в области комфорта управления для таких машин.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 </w:t>
      </w:r>
      <w:r w:rsidRPr="000D3BCC">
        <w:rPr>
          <w:rFonts w:ascii="Times New Roman" w:hAnsi="Times New Roman" w:cs="Times New Roman"/>
          <w:sz w:val="24"/>
          <w:szCs w:val="24"/>
        </w:rPr>
        <w:t xml:space="preserve">В качестве одного из самых высокопроизводительных в своем классе колесных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асфальтоукладчиков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>, он рассчитан на решение невероятно широкого круга задач: от устройства узких путей до автомагистралей, с применением всех как стандартных уплотнительных агрегатов, так и агрегатов для высокого уплотнения.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Макс. ширина укладки 8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Производительность до 700 т/ч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Макс. толщина укладываемого слоя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Ширина при транспортировке 2.55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Скорость при укладке до 18 м/мин, транспортировке до 20 км/ч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Дизельный двигатель мощностью 129.6 фирмы PERKINS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• Простая концепция управления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ErgoPlus</w:t>
      </w:r>
      <w:proofErr w:type="spellEnd"/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• Прочная пластиковая крыша с большими козырьками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BCC">
        <w:rPr>
          <w:rFonts w:ascii="Times New Roman" w:hAnsi="Times New Roman" w:cs="Times New Roman"/>
          <w:b/>
          <w:sz w:val="32"/>
          <w:szCs w:val="32"/>
        </w:rPr>
        <w:t xml:space="preserve">Колесный </w:t>
      </w:r>
      <w:proofErr w:type="spellStart"/>
      <w:r w:rsidRPr="000D3BCC">
        <w:rPr>
          <w:rFonts w:ascii="Times New Roman" w:hAnsi="Times New Roman" w:cs="Times New Roman"/>
          <w:b/>
          <w:sz w:val="32"/>
          <w:szCs w:val="32"/>
        </w:rPr>
        <w:t>асфальтоукладчик</w:t>
      </w:r>
      <w:proofErr w:type="spellEnd"/>
      <w:r w:rsidRPr="000D3BCC">
        <w:rPr>
          <w:rFonts w:ascii="Times New Roman" w:hAnsi="Times New Roman" w:cs="Times New Roman"/>
          <w:b/>
          <w:sz w:val="32"/>
          <w:szCs w:val="32"/>
        </w:rPr>
        <w:t xml:space="preserve"> SUPER 1803-2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Двигатель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Изготовитель:  PERKINS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Тип:  1106D-E66TA, 6-цилиндровый с жидкостным охлаждением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Номинальная мощность:  129.6 кВт при 2000 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>/мин (по DIN)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В режиме ЕСО:  125 кВт при 1800 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>/мин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Объем топливного бака:  220 л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Напряжение электросети:  24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Ходовая часть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Привод ходовой части:  гидравлический, независимые приводы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стандартное исполнение: ведущие 2 задних и 2 передних колеса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опция: ведущие 2 задних и 4 передних колеса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Скорость, плавно регулируемая:  - при укладке: до 18 м/мин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>: до 20 км/ч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Радиус поворота по внешней колее:  6.5 м</w:t>
      </w: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3BCC">
        <w:rPr>
          <w:rFonts w:ascii="Times New Roman" w:hAnsi="Times New Roman" w:cs="Times New Roman"/>
          <w:sz w:val="24"/>
          <w:szCs w:val="24"/>
        </w:rPr>
        <w:t>Агригаты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 xml:space="preserve"> питателя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lastRenderedPageBreak/>
        <w:t>Приводы:  гидравлические, отдельные для каждого агрегата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Скребковые конвейеры:  2, со сменными скребками ленты, кратковременно реверсируемые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Распределительные шнеки:  2, со сменными лопастными сегментами, реверсируемые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диаметр: 400 мм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Высота:  стандартное: плавное изменение высоты в пределах 14 см, механически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опция: плавное изменение высоты в пределах 20 см, гидравлически</w:t>
      </w: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Приемный бункер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Вместимость:  13 т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Ширина:  3265 мм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Рабочие органы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АВ 500-2:  Базовая ширина: 2.55 - 5.0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Макс. ширина (TV/TP1): 8.0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АВ 600-2:  Базовая ширина: 3.0 - 6.0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Макс. ширина (TV/TP1): 8.0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Варианты уплотнения:  TV, TP1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Толщина слоя:  до 30 мм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Нагрев:  выглаживающей плиты, трамбующего бруса и прессующих планок стержневыми электронагревателями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Источник энергии:  3-фазный генератор</w:t>
      </w: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3BCC">
        <w:rPr>
          <w:rFonts w:ascii="Times New Roman" w:hAnsi="Times New Roman" w:cs="Times New Roman"/>
          <w:sz w:val="24"/>
          <w:szCs w:val="24"/>
        </w:rPr>
        <w:t>Размеры и масса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Ширина:  2.55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Длина:  базовой машины и рабочего органа в положении для транспортировки: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-АВ 500-2/AB 600-2 TV: 6.0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-АВ 500-2 ТР</w:t>
      </w:r>
      <w:proofErr w:type="gramStart"/>
      <w:r w:rsidRPr="000D3B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D3BCC">
        <w:rPr>
          <w:rFonts w:ascii="Times New Roman" w:hAnsi="Times New Roman" w:cs="Times New Roman"/>
          <w:sz w:val="24"/>
          <w:szCs w:val="24"/>
        </w:rPr>
        <w:t>: 6.1 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Масса:  17.3 т (с AB 500-2 TV)</w:t>
      </w:r>
    </w:p>
    <w:p w:rsidR="000D3BCC" w:rsidRPr="000D3BCC" w:rsidRDefault="000D3BCC" w:rsidP="000D3B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3BCC">
        <w:rPr>
          <w:rFonts w:ascii="Times New Roman" w:hAnsi="Times New Roman" w:cs="Times New Roman"/>
          <w:sz w:val="24"/>
          <w:szCs w:val="24"/>
        </w:rPr>
        <w:t>Обазначения</w:t>
      </w:r>
      <w:proofErr w:type="spellEnd"/>
      <w:r w:rsidRPr="000D3BCC">
        <w:rPr>
          <w:rFonts w:ascii="Times New Roman" w:hAnsi="Times New Roman" w:cs="Times New Roman"/>
          <w:sz w:val="24"/>
          <w:szCs w:val="24"/>
        </w:rPr>
        <w:t>: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T = с трамбующим брусом</w:t>
      </w:r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 xml:space="preserve">V = с </w:t>
      </w:r>
      <w:proofErr w:type="spellStart"/>
      <w:r w:rsidRPr="000D3BCC">
        <w:rPr>
          <w:rFonts w:ascii="Times New Roman" w:hAnsi="Times New Roman" w:cs="Times New Roman"/>
          <w:sz w:val="24"/>
          <w:szCs w:val="24"/>
        </w:rPr>
        <w:t>виброплитой</w:t>
      </w:r>
      <w:proofErr w:type="spellEnd"/>
    </w:p>
    <w:p w:rsidR="000D3BCC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P1 = с одной прессующей планкой</w:t>
      </w:r>
    </w:p>
    <w:p w:rsidR="000E5ABB" w:rsidRPr="000D3BCC" w:rsidRDefault="000D3BCC" w:rsidP="000D3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BCC">
        <w:rPr>
          <w:rFonts w:ascii="Times New Roman" w:hAnsi="Times New Roman" w:cs="Times New Roman"/>
          <w:sz w:val="24"/>
          <w:szCs w:val="24"/>
        </w:rPr>
        <w:t>AB = раздвижной рабочий орган</w:t>
      </w:r>
    </w:p>
    <w:sectPr w:rsidR="000E5ABB" w:rsidRPr="000D3BCC" w:rsidSect="000D3BC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55"/>
    <w:rsid w:val="000D3BCC"/>
    <w:rsid w:val="000E5ABB"/>
    <w:rsid w:val="0052150E"/>
    <w:rsid w:val="006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2018-03-21T11:23:00Z</dcterms:created>
  <dcterms:modified xsi:type="dcterms:W3CDTF">2018-03-21T11:29:00Z</dcterms:modified>
</cp:coreProperties>
</file>