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A2" w:rsidRPr="00A96AA2" w:rsidRDefault="00A96AA2" w:rsidP="008A28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02-499 АХИ-4 </w:t>
      </w:r>
      <w:proofErr w:type="spellStart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автодегазатор</w:t>
      </w:r>
      <w:proofErr w:type="spellEnd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местности сухой хлорной известью, хлорной извести 1.6-2 </w:t>
      </w:r>
      <w:proofErr w:type="spellStart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боевой расчет 2, рабочие: ширина 7 м, 6 км/час, полный вес 6.2 </w:t>
      </w:r>
      <w:proofErr w:type="spellStart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73 </w:t>
      </w:r>
      <w:proofErr w:type="spellStart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9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60 км/час, мелкими партиями, </w:t>
      </w:r>
      <w:r w:rsidR="00524320" w:rsidRPr="0052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т. ч. завод </w:t>
      </w:r>
      <w:proofErr w:type="spellStart"/>
      <w:r w:rsidR="00524320" w:rsidRPr="0052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Сибсель</w:t>
      </w:r>
      <w:r w:rsidR="0052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</w:t>
      </w:r>
      <w:proofErr w:type="spellEnd"/>
      <w:r w:rsidR="00524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Новосибирск 1936-41 г.</w:t>
      </w:r>
    </w:p>
    <w:p w:rsidR="00A96AA2" w:rsidRDefault="00A96AA2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B166A8" wp14:editId="33BC2DE6">
            <wp:simplePos x="0" y="0"/>
            <wp:positionH relativeFrom="margin">
              <wp:posOffset>351790</wp:posOffset>
            </wp:positionH>
            <wp:positionV relativeFrom="margin">
              <wp:posOffset>956310</wp:posOffset>
            </wp:positionV>
            <wp:extent cx="5184775" cy="2714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BB6" w:rsidRDefault="00524320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FD" w:rsidRDefault="008A3BFD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имическое управление РККА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13 августа 1941 г.</w:t>
      </w:r>
      <w:r w:rsidRPr="003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военно-химическое управление Красной Армии.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 -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радиационной, химической и биологической защиты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(РХБЗ) 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войска, предназна</w:t>
      </w:r>
      <w:r w:rsidR="00A9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ченные для проведения комплекса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направленных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снижение потерь</w:t>
      </w:r>
      <w:bookmarkStart w:id="0" w:name="_GoBack"/>
      <w:bookmarkEnd w:id="0"/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 Сухопутных войск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обеспечение выполнения поставленных боевых задач при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 в условиях радиоактивного, химического и биологического заражения, а также на повышение их живучести и защиты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7D1" w:rsidRP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высокоточного и других видов оружия.</w:t>
      </w:r>
      <w:proofErr w:type="gramEnd"/>
    </w:p>
    <w:p w:rsidR="00B830F9" w:rsidRDefault="007269D4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Института химической обороны им. </w:t>
      </w:r>
      <w:proofErr w:type="spellStart"/>
      <w:r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3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0C0539" w:rsidRPr="000C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НИХИ РККА</w:t>
      </w:r>
      <w:r w:rsidR="0032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B5B8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 управления РККА</w:t>
      </w:r>
      <w:r w:rsidRPr="006E2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1934 г., сотрудниками Института химической обороны Хабаровым, </w:t>
      </w:r>
      <w:proofErr w:type="spellStart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Сарзановым</w:t>
      </w:r>
      <w:proofErr w:type="spellEnd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Зенкиным, </w:t>
      </w:r>
      <w:proofErr w:type="spellStart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Глушовым</w:t>
      </w:r>
      <w:proofErr w:type="spellEnd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</w:t>
      </w:r>
      <w:r w:rsidR="00C8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разрабатывались </w:t>
      </w:r>
      <w:proofErr w:type="spellStart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автодегазаторы</w:t>
      </w:r>
      <w:proofErr w:type="spellEnd"/>
      <w:r w:rsidR="00C83933"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 известью АХИ. До 1939 г. были разработаны 6 модификаций АХИ.</w:t>
      </w:r>
      <w:r w:rsidR="00B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Военно-химическом</w:t>
      </w:r>
      <w:r w:rsidR="00B830F9" w:rsidRPr="00B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</w:t>
      </w:r>
      <w:r w:rsidR="00B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30F9" w:rsidRPr="00B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поселка Шиханы </w:t>
      </w:r>
      <w:r w:rsidR="00223DCB" w:rsidRP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</w:t>
      </w:r>
      <w:r w:rsid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3DCB" w:rsidRP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ичернавская</w:t>
      </w:r>
      <w:proofErr w:type="spellEnd"/>
      <w:r w:rsid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Саратовская</w:t>
      </w:r>
      <w:proofErr w:type="gramEnd"/>
      <w:r w:rsid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223DCB" w:rsidRPr="0022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83933"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испытаны и рекомендованы</w:t>
      </w:r>
      <w:r w:rsidR="00C8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933"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образцов </w:t>
      </w:r>
      <w:proofErr w:type="spellStart"/>
      <w:r w:rsidR="00C83933"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известко</w:t>
      </w:r>
      <w:proofErr w:type="spellEnd"/>
      <w:r w:rsidR="00C83933"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-разбрасывателей типа АХИ для дегазации местности.</w:t>
      </w:r>
    </w:p>
    <w:p w:rsidR="007269D4" w:rsidRDefault="00C83933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конструкции </w:t>
      </w:r>
      <w:r w:rsidR="009A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находили применение и при производстве </w:t>
      </w:r>
      <w:proofErr w:type="spellStart"/>
      <w:r w:rsidR="009A2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9A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цементовозов.</w:t>
      </w:r>
    </w:p>
    <w:p w:rsidR="007103C1" w:rsidRDefault="007103C1" w:rsidP="00E31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частности А.</w:t>
      </w:r>
      <w:r w:rsidRPr="00710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Кириндас</w:t>
      </w:r>
      <w:proofErr w:type="spellEnd"/>
      <w:r w:rsid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в журнале </w:t>
      </w:r>
      <w:r w:rsidR="00E31414" w:rsidRP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кампания №5</w:t>
      </w:r>
      <w:r w:rsid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E31414" w:rsidRP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1414" w:rsidRP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Противохимический щит. Средства дегазации, дезинфекции</w:t>
      </w:r>
      <w:r w:rsid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414" w:rsidRP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дезактивации</w:t>
      </w:r>
      <w:r w:rsidR="00E314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пишет:</w:t>
      </w:r>
    </w:p>
    <w:p w:rsidR="00DF4971" w:rsidRPr="006E27E9" w:rsidRDefault="00DF4971" w:rsidP="00E31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завод </w:t>
      </w:r>
      <w:proofErr w:type="spellStart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Сибсельмаш</w:t>
      </w:r>
      <w:proofErr w:type="spellEnd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Новосибирск) 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 профиль в части выпуска народнохозяй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продукции, кроме того,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оборонные цеха в мирное время освоили производство </w:t>
      </w:r>
      <w:proofErr w:type="spellStart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автодегазаторов</w:t>
      </w:r>
      <w:proofErr w:type="spellEnd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 известью и некоторых других изделий. Завод должен был начать выпуск машин АХИ с 1935 г, имея мирный план на 50 шт. Однако из-за несвоевременного поступления шасси сроки поставки были смещены на декабрь 1936 г. К 1 мая 1936 г. на завод для переоборудования поступило 33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С-5. К концу 1930-х гг. завод в целом успешно организовал изготовление народнохозяйственной и оборонной продукции</w:t>
      </w:r>
      <w:proofErr w:type="gramStart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емпы выпуска которой лимитировались своевременной поставкой комплектующих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9D4" w:rsidRPr="008536A7" w:rsidRDefault="00CD5146" w:rsidP="00514B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D955D1" w:rsidRDefault="00D955D1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применения средств массового поражения территория, а также все, что находится на ней </w:t>
      </w:r>
      <w:r w:rsidR="001D7C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сооружения, люди, </w:t>
      </w:r>
      <w:proofErr w:type="spellStart"/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водоисточники</w:t>
      </w:r>
      <w:proofErr w:type="spellEnd"/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продовольствие, предметы — могут быть заражены. Это может стать источником поражения людей. Поэтому должны проводиться мероприятия по обеззараживан</w:t>
      </w:r>
      <w:r w:rsid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объектов</w:t>
      </w:r>
      <w:r w:rsidR="006B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вида заражения </w:t>
      </w:r>
      <w:r w:rsid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6B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азличные виды обеззараживания: </w:t>
      </w:r>
      <w:r w:rsidRPr="00F42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дезактивация, дегазация, дезинфекция, дезинсекция, дератизация.</w:t>
      </w:r>
    </w:p>
    <w:p w:rsidR="00BF628E" w:rsidRDefault="00EB02B8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C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19</w:t>
      </w:r>
      <w:r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>30-х годов на вооружение химических войск стали поступать специальные машины</w:t>
      </w:r>
      <w:r w:rsidR="00BF6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28E" w:rsidRDefault="00BF628E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дегазации местности порошкообразными и жидкими дегазирующими веществами - </w:t>
      </w:r>
      <w:proofErr w:type="spellStart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</w:t>
      </w:r>
      <w:proofErr w:type="spellEnd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 известью </w:t>
      </w:r>
      <w:r w:rsidR="0076018F" w:rsidRPr="008B2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очистки местности</w:t>
      </w:r>
      <w:r w:rsidR="0076018F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(АХИ) и авторазливочная станция (АРС), </w:t>
      </w:r>
    </w:p>
    <w:p w:rsidR="00BF628E" w:rsidRDefault="00BF628E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дегазации оружия и боевой техники - автодегазационная машина (</w:t>
      </w:r>
      <w:proofErr w:type="gramStart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D7C95" w:rsidRDefault="00BF628E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дегазации обмундирования и снаряжения - </w:t>
      </w:r>
      <w:proofErr w:type="spellStart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</w:t>
      </w:r>
      <w:proofErr w:type="spellEnd"/>
      <w:r w:rsidR="00EB02B8" w:rsidRPr="00EB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воздухом (АГВ) и бучильная установка (БУ); </w:t>
      </w:r>
    </w:p>
    <w:p w:rsidR="00433E5B" w:rsidRDefault="00162B8D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3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втодегазаторами</w:t>
      </w:r>
      <w:proofErr w:type="spellEnd"/>
      <w:r w:rsidR="00685BD3" w:rsidRPr="008B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сухой </w:t>
      </w:r>
      <w:r w:rsidR="00685BD3" w:rsidRPr="008B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хлорной известью </w:t>
      </w:r>
      <w:r w:rsidR="00685BD3" w:rsidRPr="008B2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АХИ</w:t>
      </w:r>
      <w:r w:rsidR="00685BD3" w:rsidRPr="008B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комплектовались:</w:t>
      </w:r>
    </w:p>
    <w:p w:rsidR="00356F4A" w:rsidRDefault="00356F4A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дегазационные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батальоны центрального подчинения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 из трех рот специальных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 — </w:t>
      </w:r>
      <w:proofErr w:type="spellStart"/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автодегазаторов</w:t>
      </w:r>
      <w:proofErr w:type="spellEnd"/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известью и авторазливочных станций, по 15 машин в каждой, и подразделений обеспечения.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 батальонов состояли машины АХИ,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автодегазаторы</w:t>
      </w:r>
      <w:proofErr w:type="spellEnd"/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воздухом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АГВ, автодегазационные машины,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бучильные установки и машины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АРС. </w:t>
      </w:r>
      <w:r w:rsidR="00CA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FCD" w:rsidRDefault="00433E5B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рмейские роты</w:t>
      </w:r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ПХО</w:t>
      </w:r>
      <w:r w:rsidR="00BE7C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взводов по 5 машин АХИ в </w:t>
      </w:r>
      <w:proofErr w:type="gramStart"/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предназначалась для дегазации местности. Одной зарядкой хлорной извести (30 т) рота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продегазировать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км</w:t>
      </w:r>
      <w:r w:rsidR="00685BD3" w:rsidRPr="0068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проходов</w:t>
      </w:r>
      <w:r w:rsidR="00E76F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BD3" w:rsidRDefault="00E76FCD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дегазационные роты </w:t>
      </w:r>
      <w:r w:rsidR="00AD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корпусов и 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стрелковых дивизий. Они состояли</w:t>
      </w:r>
      <w:r w:rsidR="00007F35" w:rsidRPr="0000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взводов: взвода химической разведки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F35" w:rsidRPr="00007F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наблюдения, взвода дегазации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F35" w:rsidRPr="00007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 и взвода дегазации материальной части, обмундирования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снаряжения. </w:t>
      </w:r>
      <w:r w:rsidR="00875E01" w:rsidRP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вооружении роты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E01" w:rsidRP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специальные машины</w:t>
      </w:r>
      <w:r w:rsid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E01" w:rsidRP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АХИ, </w:t>
      </w:r>
      <w:proofErr w:type="gramStart"/>
      <w:r w:rsidR="00875E01" w:rsidRP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="00875E01" w:rsidRPr="00875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АГВ, БУ.</w:t>
      </w:r>
      <w:r w:rsidR="00BE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BD3" w:rsidRDefault="000C0539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до войны были созданы достаточно эффективные технические средства дегазации, однако к началу войны в войска их поступило </w:t>
      </w:r>
      <w:r w:rsidR="00B11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мало. О</w:t>
      </w:r>
      <w:r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беспеченность армии составляла: АРС</w:t>
      </w:r>
      <w:r w:rsidR="00B1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- 50-70%; </w:t>
      </w:r>
      <w:proofErr w:type="gramStart"/>
      <w:r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760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34%; АХИ -16%; АГВ - 7%.</w:t>
      </w:r>
      <w:r w:rsidR="00B1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2C3" w:rsidRPr="008536A7" w:rsidRDefault="00B112C3" w:rsidP="00B112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 стали одними из  немногих химичес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машин, применявшихся в боевых действиях, правда, не по прямому назначению. Боевое крещение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</w:t>
      </w:r>
      <w:r w:rsidR="0001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войны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финнами)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условиях сильных снегопадов</w:t>
      </w:r>
      <w:r w:rsidR="0001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низких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 дороги становились</w:t>
      </w:r>
      <w:r w:rsidR="0001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непроезжими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из-за г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ололеда. В этой связи военных химиков привлекли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обледеневш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дорог.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финских 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АХИ действовал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самостоятельно,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1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дировывались к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частям.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2C3" w:rsidRDefault="00B112C3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B7" w:rsidRPr="00B3288C" w:rsidRDefault="00633B47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Автодегазаторы</w:t>
      </w:r>
      <w:proofErr w:type="spellEnd"/>
      <w:r w:rsidRPr="0063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хлорной известью</w:t>
      </w:r>
      <w:r w:rsidR="005E2AB7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предназначалась для дегазации сухой хлорной известью участков местности,</w:t>
      </w:r>
      <w:r w:rsidR="00A0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AB7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зараженных стойкими отравляющими веществами. Работа АХИ основывалась на принципе</w:t>
      </w:r>
      <w:r w:rsidR="00A0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AB7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механического разбрасывания хлорной извести вращающимися дисками.</w:t>
      </w:r>
      <w:r w:rsidR="00A0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Разбрасываемое сухое дегазирующее вещество </w:t>
      </w:r>
      <w:r w:rsidR="00A038EA" w:rsidRPr="00A03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зараженную поверхность сплошным равномерным слоем.</w:t>
      </w:r>
    </w:p>
    <w:p w:rsidR="00B3288C" w:rsidRDefault="00B3288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Варианты: </w:t>
      </w:r>
    </w:p>
    <w:p w:rsidR="005E2AB7" w:rsidRPr="00B3288C" w:rsidRDefault="00B3288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АХИ-5 на шасси 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С-6</w:t>
      </w:r>
      <w:r w:rsidR="005E2AB7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отбор мощности от заднего моста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AB7" w:rsidRDefault="005E2AB7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АХИ-ВЗ на шасси 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С-22; отбор мощности от карданного вала</w:t>
      </w:r>
      <w:r w:rsidR="00485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88C" w:rsidRDefault="00B3288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АХИ-3</w:t>
      </w:r>
      <w:r w:rsidR="00CD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откидных </w:t>
      </w:r>
      <w:proofErr w:type="spellStart"/>
      <w:r w:rsidR="00CD5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боротов</w:t>
      </w:r>
      <w:proofErr w:type="spellEnd"/>
      <w:r w:rsidR="00CD51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АХИ-4</w:t>
      </w:r>
      <w:r w:rsidR="0048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ЗиС-5</w:t>
      </w:r>
      <w:r w:rsidR="00485CB9" w:rsidRPr="00B3288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отбор мощности от заднего моста</w:t>
      </w:r>
      <w:r w:rsidR="00C23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B6"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АХИ-5 имеет следующие четыре основные части: </w:t>
      </w:r>
    </w:p>
    <w:p w:rsidR="003D6EAC" w:rsidRDefault="00BF75B6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довую часть, </w:t>
      </w:r>
    </w:p>
    <w:p w:rsid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кузов с бункерами, </w:t>
      </w:r>
    </w:p>
    <w:p w:rsid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5B6"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подающий и разбрасывающий механизмы, </w:t>
      </w:r>
    </w:p>
    <w:p w:rsidR="00BF75B6" w:rsidRPr="00BF75B6" w:rsidRDefault="00BF75B6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механизмы </w:t>
      </w:r>
      <w:proofErr w:type="spellStart"/>
      <w:r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рушителей</w:t>
      </w:r>
      <w:proofErr w:type="spellEnd"/>
      <w:r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AB7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B6"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автомашины смонтирован кузов и состоящий из двух бункеров, в которые загружается хлорная известь. На дне бункеров установлены шнеки, подающие известь к задней стенке бункеров. В задней стенке бункеров имеются отверстия, через которые хлорная известь, подаваемая шнеками, поступает в приемные коробки и далее по направляющим рукавам на быстро вращающиеся разбрасывающие диски. Шнеки и диски получают вращение </w:t>
      </w:r>
      <w:r w:rsidR="00BF75B6"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систему передач от заднего моста шасси.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5B6" w:rsidRPr="00B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центробежной силы хлорная известь сбрасывается с дисков и покрывает местность равномерным слоем.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Pr="001E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АХИ-5</w:t>
      </w:r>
    </w:p>
    <w:p w:rsidR="000627D1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 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С-6 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мощности </w:t>
      </w:r>
      <w:proofErr w:type="gramStart"/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заднего моста шасси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потребляемая специальными механизмами </w:t>
      </w:r>
      <w:r w:rsidR="0006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gramStart"/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EAC" w:rsidRPr="003D6EAC" w:rsidRDefault="000627D1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специального оборудования </w:t>
      </w:r>
      <w:r w:rsidR="003D6EAC"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1300 кг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 при дегазации 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км/час</w:t>
      </w:r>
    </w:p>
    <w:p w:rsidR="005923F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одной загрузки хлорной извести 1700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1900 кг </w:t>
      </w:r>
    </w:p>
    <w:p w:rsidR="003D6EAC" w:rsidRPr="003D6EAC" w:rsidRDefault="005923F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высева</w:t>
      </w:r>
      <w:r w:rsidR="003D6EAC"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6EAC"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0,5 кг/м</w:t>
      </w:r>
      <w:proofErr w:type="gramStart"/>
      <w:r w:rsidR="003D6EAC"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5923F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дегазируемой полосы 4,5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 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дегазируемой полосы 550—600 м</w:t>
      </w:r>
    </w:p>
    <w:p w:rsidR="005923F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загрузкой дегазируется площадь 2700 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ициент полезного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хлорной извести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60—70%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подготовки машины к работе (из тра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нспортного положения </w:t>
      </w:r>
      <w:proofErr w:type="gramStart"/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рабочее)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мин.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загрузки расчетом из четырех человек </w:t>
      </w:r>
      <w:r w:rsidR="0059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30—40 мин.</w:t>
      </w:r>
    </w:p>
    <w:p w:rsidR="003D6EAC" w:rsidRPr="003D6EA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опорожнения машины 4 мин.</w:t>
      </w:r>
    </w:p>
    <w:p w:rsidR="003D6EAC" w:rsidRPr="00B3288C" w:rsidRDefault="003D6EAC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машины —2 человека (водитель и командир машины)</w:t>
      </w:r>
    </w:p>
    <w:p w:rsidR="005E2AB7" w:rsidRDefault="00BE5573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</w:t>
      </w:r>
      <w:r w:rsidR="001E53CF" w:rsidRPr="001E5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АХИ-ВЗ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устроена по тому ж</w:t>
      </w:r>
      <w:r w:rsid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принципу и предназначена для 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тех же задач, что и АХИ-5.</w:t>
      </w:r>
      <w:r w:rsid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АХИ-ВЗ отличается от АХИ-5 следующим: </w:t>
      </w:r>
      <w:proofErr w:type="gramStart"/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смонтирована на шасси вездехода ВЗ (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С-22) вместо 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E53CF"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С-6; 2) изменен узел отбора мощности; 3) изменен механизм включения.</w:t>
      </w:r>
    </w:p>
    <w:p w:rsidR="001E53CF" w:rsidRPr="001E53CF" w:rsidRDefault="001E53CF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АХИ-ВЗ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 от АХИ-б)</w:t>
      </w:r>
    </w:p>
    <w:p w:rsidR="001E53CF" w:rsidRPr="001E53CF" w:rsidRDefault="001E53CF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мощности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главного карданного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 автомашины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3CF" w:rsidRPr="001E53CF" w:rsidRDefault="001E53CF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специального оборудования 1400 кг</w:t>
      </w:r>
    </w:p>
    <w:p w:rsidR="001E53CF" w:rsidRDefault="001E53CF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скорость при дегазации 8 км/час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3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(показания спидометра при этом 17 км/час)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АХИ-3 и АХИ-4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АХИ-3 по конструкции мало отличается от АХИ-4.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АХИ-3 и АХИ-4 смонтированы на автомашинах марки| </w:t>
      </w:r>
      <w:r w:rsidR="00DF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С-5. Они имеют следующие основные части: шасси кузов с подающим механизмом; разбрасывающий механизм; систему передачи вращения от мотора к подающим и разбрасывающим механизмам.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 АХИ-3 и АХИ-4</w:t>
      </w:r>
    </w:p>
    <w:p w:rsid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по хлорной извести .... 1 800—2 000 кг 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прохода, дегазируемого одной загрузкой 500 м</w:t>
      </w:r>
    </w:p>
    <w:p w:rsid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дегазируемой полосы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Дегазируемая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3500 м</w:t>
      </w:r>
      <w:proofErr w:type="gramStart"/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высева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0,3 кг/м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опорожнения 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4—5 мин.</w:t>
      </w:r>
    </w:p>
    <w:p w:rsidR="0037258A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при дегазации 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>6 км/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загрузки расчетом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четырех человек 40 мин.</w:t>
      </w:r>
    </w:p>
    <w:p w:rsidR="00DB31D5" w:rsidRP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ициент полезного использования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хлорной извести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50—60%</w:t>
      </w:r>
    </w:p>
    <w:p w:rsidR="00DB31D5" w:rsidRDefault="00DB31D5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машины </w:t>
      </w:r>
      <w:r w:rsidR="003725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и водитель</w:t>
      </w:r>
      <w:r w:rsidR="008A2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AB8" w:rsidRDefault="00C23AB8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D5" w:rsidRPr="006761D5" w:rsidRDefault="00C23AB8" w:rsidP="006761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</w:t>
      </w:r>
      <w:r w:rsidR="006761D5" w:rsidRP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203. Доклад наркома обороны СССР С. К. Тимошенко и начальника Генерального штаба Красной армии Г. К. Жукова секретарю ЦК ВК</w:t>
      </w:r>
      <w:proofErr w:type="gramStart"/>
      <w:r w:rsidR="006761D5" w:rsidRP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6761D5" w:rsidRP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 председателю СНК СССР И. В. Сталину о выполнении промышленностью плана заказов Наркомата обороны СССР за январь-апрель 1941 г.</w:t>
      </w:r>
    </w:p>
    <w:p w:rsidR="006761D5" w:rsidRDefault="006761D5" w:rsidP="006761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мая 1941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секретно</w:t>
      </w:r>
    </w:p>
    <w:p w:rsidR="008A2836" w:rsidRDefault="008A2836" w:rsidP="008A2836">
      <w:pPr>
        <w:pStyle w:val="3"/>
        <w:spacing w:before="0" w:beforeAutospacing="0" w:after="0" w:afterAutospacing="0"/>
        <w:jc w:val="center"/>
      </w:pPr>
      <w:r>
        <w:t>VI. По химическому вооружению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919"/>
        <w:gridCol w:w="973"/>
        <w:gridCol w:w="868"/>
        <w:gridCol w:w="901"/>
        <w:gridCol w:w="901"/>
        <w:gridCol w:w="868"/>
      </w:tblGrid>
      <w:tr w:rsidR="009E7EBA" w:rsidRPr="008A2836" w:rsidTr="008A2836">
        <w:trPr>
          <w:jc w:val="center"/>
        </w:trPr>
        <w:tc>
          <w:tcPr>
            <w:tcW w:w="0" w:type="auto"/>
            <w:vMerge w:val="restart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Наименование предметов вооружения и боевой техники</w:t>
            </w:r>
          </w:p>
        </w:tc>
        <w:tc>
          <w:tcPr>
            <w:tcW w:w="0" w:type="auto"/>
            <w:gridSpan w:val="3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За I квартал 1941 г.</w:t>
            </w:r>
          </w:p>
        </w:tc>
        <w:tc>
          <w:tcPr>
            <w:tcW w:w="0" w:type="auto"/>
            <w:gridSpan w:val="3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За апрель месяц 1941 г.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vMerge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план</w:t>
            </w:r>
          </w:p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постав</w:t>
            </w:r>
            <w:r w:rsidRPr="008A2836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постав</w:t>
            </w:r>
            <w:r w:rsidRPr="008A2836">
              <w:rPr>
                <w:rFonts w:ascii="Times New Roman" w:hAnsi="Times New Roman" w:cs="Times New Roman"/>
              </w:rPr>
              <w:softHyphen/>
              <w:t>лено</w:t>
            </w:r>
          </w:p>
        </w:tc>
        <w:tc>
          <w:tcPr>
            <w:tcW w:w="0" w:type="auto"/>
            <w:hideMark/>
          </w:tcPr>
          <w:p w:rsidR="008A2836" w:rsidRPr="008A2836" w:rsidRDefault="006761D5" w:rsidP="008A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выпол</w:t>
            </w:r>
            <w:r w:rsidRPr="008A2836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план</w:t>
            </w:r>
          </w:p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постав</w:t>
            </w:r>
            <w:r w:rsidRPr="008A2836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постав</w:t>
            </w:r>
            <w:r w:rsidRPr="008A2836">
              <w:rPr>
                <w:rFonts w:ascii="Times New Roman" w:hAnsi="Times New Roman" w:cs="Times New Roman"/>
              </w:rPr>
              <w:softHyphen/>
              <w:t>лено</w:t>
            </w:r>
          </w:p>
        </w:tc>
        <w:tc>
          <w:tcPr>
            <w:tcW w:w="0" w:type="auto"/>
            <w:hideMark/>
          </w:tcPr>
          <w:p w:rsidR="008A2836" w:rsidRPr="008A2836" w:rsidRDefault="006761D5" w:rsidP="008A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выпол</w:t>
            </w:r>
            <w:r w:rsidRPr="008A2836">
              <w:rPr>
                <w:rFonts w:ascii="Times New Roman" w:hAnsi="Times New Roman" w:cs="Times New Roman"/>
              </w:rPr>
              <w:softHyphen/>
              <w:t>нения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lastRenderedPageBreak/>
              <w:t>Противогазы “БС”</w:t>
            </w:r>
          </w:p>
        </w:tc>
        <w:tc>
          <w:tcPr>
            <w:tcW w:w="0" w:type="auto"/>
            <w:hideMark/>
          </w:tcPr>
          <w:p w:rsidR="008A2836" w:rsidRPr="008A2836" w:rsidRDefault="008A2836" w:rsidP="009E7EBA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890000</w:t>
            </w:r>
          </w:p>
        </w:tc>
        <w:tc>
          <w:tcPr>
            <w:tcW w:w="0" w:type="auto"/>
            <w:hideMark/>
          </w:tcPr>
          <w:p w:rsidR="008A2836" w:rsidRPr="008A2836" w:rsidRDefault="008A2836" w:rsidP="009E7EBA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184003</w:t>
            </w:r>
            <w:r w:rsidR="009E7E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0" w:type="auto"/>
            <w:hideMark/>
          </w:tcPr>
          <w:p w:rsidR="008A2836" w:rsidRPr="008A2836" w:rsidRDefault="008A2836" w:rsidP="009E7EBA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0" w:type="auto"/>
            <w:hideMark/>
          </w:tcPr>
          <w:p w:rsidR="008A2836" w:rsidRPr="008A2836" w:rsidRDefault="008A2836" w:rsidP="009E7EBA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340000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110,0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Конские сухие противогазы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29 000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5685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12 000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8 880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74,0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37F3C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Кислородные изолирующие </w:t>
            </w:r>
            <w:proofErr w:type="gramStart"/>
            <w:r w:rsidRPr="008A2836">
              <w:rPr>
                <w:rFonts w:ascii="Times New Roman" w:hAnsi="Times New Roman" w:cs="Times New Roman"/>
              </w:rPr>
              <w:t>противогазы</w:t>
            </w:r>
            <w:r w:rsidRPr="008A2836">
              <w:rPr>
                <w:rFonts w:ascii="Times New Roman" w:hAnsi="Times New Roman" w:cs="Times New Roman"/>
              </w:rPr>
              <w:noBreakHyphen/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Pr="008A283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300,0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Изолирующие подводные аппараты – ИПА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Комбинезоны </w:t>
            </w:r>
            <w:proofErr w:type="spellStart"/>
            <w:r w:rsidRPr="008A2836">
              <w:rPr>
                <w:rFonts w:ascii="Times New Roman" w:hAnsi="Times New Roman" w:cs="Times New Roman"/>
              </w:rPr>
              <w:t>олифованные</w:t>
            </w:r>
            <w:proofErr w:type="spellEnd"/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Куртки и брюки из СК</w:t>
            </w:r>
            <w:r w:rsidRPr="008A2836">
              <w:rPr>
                <w:rFonts w:ascii="Times New Roman" w:hAnsi="Times New Roman" w:cs="Times New Roman"/>
              </w:rPr>
              <w:noBreakHyphen/>
              <w:t>01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Фартуки </w:t>
            </w:r>
            <w:proofErr w:type="spellStart"/>
            <w:r w:rsidRPr="008A2836">
              <w:rPr>
                <w:rFonts w:ascii="Times New Roman" w:hAnsi="Times New Roman" w:cs="Times New Roman"/>
              </w:rPr>
              <w:t>олифованные</w:t>
            </w:r>
            <w:proofErr w:type="spellEnd"/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50 400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Халаты с отъемным капюшоном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Чулки людские </w:t>
            </w:r>
            <w:proofErr w:type="spellStart"/>
            <w:r w:rsidRPr="008A2836">
              <w:rPr>
                <w:rFonts w:ascii="Times New Roman" w:hAnsi="Times New Roman" w:cs="Times New Roman"/>
              </w:rPr>
              <w:t>олифованные</w:t>
            </w:r>
            <w:proofErr w:type="spellEnd"/>
            <w:r w:rsidRPr="008A2836">
              <w:rPr>
                <w:rFonts w:ascii="Times New Roman" w:hAnsi="Times New Roman" w:cs="Times New Roman"/>
              </w:rPr>
              <w:t>, пары</w:t>
            </w:r>
          </w:p>
        </w:tc>
        <w:tc>
          <w:tcPr>
            <w:tcW w:w="0" w:type="auto"/>
            <w:hideMark/>
          </w:tcPr>
          <w:p w:rsidR="008A2836" w:rsidRPr="008A2836" w:rsidRDefault="008A2836" w:rsidP="00837F3C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0" w:type="auto"/>
            <w:hideMark/>
          </w:tcPr>
          <w:p w:rsidR="008A2836" w:rsidRPr="008A2836" w:rsidRDefault="008A2836" w:rsidP="00837F3C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341500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0" w:type="auto"/>
            <w:hideMark/>
          </w:tcPr>
          <w:p w:rsidR="008A2836" w:rsidRPr="008A2836" w:rsidRDefault="008A2836" w:rsidP="00837F3C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0" w:type="auto"/>
            <w:hideMark/>
          </w:tcPr>
          <w:p w:rsidR="008A2836" w:rsidRPr="008A2836" w:rsidRDefault="008A2836" w:rsidP="00837F3C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136000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160,0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Перчатки резиновые, пары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25 000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42 900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7 000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27 900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400,0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Сапоги резиновые, пары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25 000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16 215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Набор </w:t>
            </w:r>
            <w:proofErr w:type="spellStart"/>
            <w:r w:rsidRPr="008A2836">
              <w:rPr>
                <w:rFonts w:ascii="Times New Roman" w:hAnsi="Times New Roman" w:cs="Times New Roman"/>
              </w:rPr>
              <w:t>химразведчика</w:t>
            </w:r>
            <w:proofErr w:type="spellEnd"/>
            <w:r w:rsidRPr="008A2836">
              <w:rPr>
                <w:rFonts w:ascii="Times New Roman" w:hAnsi="Times New Roman" w:cs="Times New Roman"/>
              </w:rPr>
              <w:t> ПХР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Фильтры-поглотители ФПУМ</w:t>
            </w:r>
            <w:r w:rsidRPr="008A2836">
              <w:rPr>
                <w:rFonts w:ascii="Times New Roman" w:hAnsi="Times New Roman" w:cs="Times New Roman"/>
              </w:rPr>
              <w:noBreakHyphen/>
              <w:t>200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2 414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180,0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Авторазливочные  станции АРС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104,0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2836">
              <w:rPr>
                <w:rFonts w:ascii="Times New Roman" w:hAnsi="Times New Roman" w:cs="Times New Roman"/>
                <w:b/>
              </w:rPr>
              <w:t>Автодегазаторы</w:t>
            </w:r>
            <w:proofErr w:type="spellEnd"/>
            <w:r w:rsidRPr="008A2836">
              <w:rPr>
                <w:rFonts w:ascii="Times New Roman" w:hAnsi="Times New Roman" w:cs="Times New Roman"/>
                <w:b/>
              </w:rPr>
              <w:t> хлорной известью АХИ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121,0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836">
              <w:rPr>
                <w:rFonts w:ascii="Times New Roman" w:hAnsi="Times New Roman" w:cs="Times New Roman"/>
                <w:b/>
              </w:rPr>
              <w:t>103,0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proofErr w:type="spellStart"/>
            <w:r w:rsidRPr="008A2836">
              <w:rPr>
                <w:rFonts w:ascii="Times New Roman" w:hAnsi="Times New Roman" w:cs="Times New Roman"/>
              </w:rPr>
              <w:t>Автодегазаторы</w:t>
            </w:r>
            <w:proofErr w:type="spellEnd"/>
            <w:r w:rsidRPr="008A2836">
              <w:rPr>
                <w:rFonts w:ascii="Times New Roman" w:hAnsi="Times New Roman" w:cs="Times New Roman"/>
              </w:rPr>
              <w:t> горячим воздухом АГВ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Бучильные установки БУ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Конно-дегазационные повозки КДП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Ранцевые дегазационные приборы РДП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130,0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Ранцевые огнеметы РОКС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0</w:t>
            </w:r>
          </w:p>
        </w:tc>
      </w:tr>
      <w:tr w:rsidR="008A2836" w:rsidRPr="008A2836" w:rsidTr="008A2836">
        <w:trPr>
          <w:jc w:val="center"/>
        </w:trPr>
        <w:tc>
          <w:tcPr>
            <w:tcW w:w="0" w:type="auto"/>
            <w:hideMark/>
          </w:tcPr>
          <w:p w:rsidR="008A2836" w:rsidRPr="008A2836" w:rsidRDefault="008A2836" w:rsidP="008A2836">
            <w:pPr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Шашки нейтрального дыма ДМ</w:t>
            </w:r>
            <w:r w:rsidRPr="008A2836">
              <w:rPr>
                <w:rFonts w:ascii="Times New Roman" w:hAnsi="Times New Roman" w:cs="Times New Roman"/>
              </w:rPr>
              <w:noBreakHyphen/>
              <w:t>11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150 000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132 300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29 200</w:t>
            </w:r>
          </w:p>
        </w:tc>
        <w:tc>
          <w:tcPr>
            <w:tcW w:w="0" w:type="auto"/>
            <w:hideMark/>
          </w:tcPr>
          <w:p w:rsidR="008A2836" w:rsidRPr="008A2836" w:rsidRDefault="008A2836" w:rsidP="008A2836">
            <w:pPr>
              <w:jc w:val="center"/>
              <w:rPr>
                <w:rFonts w:ascii="Times New Roman" w:hAnsi="Times New Roman" w:cs="Times New Roman"/>
              </w:rPr>
            </w:pPr>
            <w:r w:rsidRPr="008A2836">
              <w:rPr>
                <w:rFonts w:ascii="Times New Roman" w:hAnsi="Times New Roman" w:cs="Times New Roman"/>
              </w:rPr>
              <w:t>73,0</w:t>
            </w:r>
          </w:p>
        </w:tc>
      </w:tr>
    </w:tbl>
    <w:p w:rsidR="008A2836" w:rsidRPr="00B3288C" w:rsidRDefault="008A2836" w:rsidP="008A2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836" w:rsidRPr="00B3288C" w:rsidSect="0001740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54"/>
    <w:rsid w:val="00007F35"/>
    <w:rsid w:val="00017408"/>
    <w:rsid w:val="000627D1"/>
    <w:rsid w:val="000A0463"/>
    <w:rsid w:val="000C0539"/>
    <w:rsid w:val="000E5ABB"/>
    <w:rsid w:val="00162B8D"/>
    <w:rsid w:val="001D7C95"/>
    <w:rsid w:val="001E53CF"/>
    <w:rsid w:val="001E6AE6"/>
    <w:rsid w:val="00214AFD"/>
    <w:rsid w:val="00223DCB"/>
    <w:rsid w:val="00326075"/>
    <w:rsid w:val="00356F4A"/>
    <w:rsid w:val="0037258A"/>
    <w:rsid w:val="003D6EAC"/>
    <w:rsid w:val="00433E5B"/>
    <w:rsid w:val="00485CB9"/>
    <w:rsid w:val="00514B1B"/>
    <w:rsid w:val="0052150E"/>
    <w:rsid w:val="00524320"/>
    <w:rsid w:val="005923FC"/>
    <w:rsid w:val="005E2AB7"/>
    <w:rsid w:val="00633B47"/>
    <w:rsid w:val="006761D5"/>
    <w:rsid w:val="00685BD3"/>
    <w:rsid w:val="00686C95"/>
    <w:rsid w:val="00690E36"/>
    <w:rsid w:val="006B5B80"/>
    <w:rsid w:val="006E27E9"/>
    <w:rsid w:val="007103C1"/>
    <w:rsid w:val="007269D4"/>
    <w:rsid w:val="0076018F"/>
    <w:rsid w:val="007A3CDF"/>
    <w:rsid w:val="00805BB6"/>
    <w:rsid w:val="00837F3C"/>
    <w:rsid w:val="008536A7"/>
    <w:rsid w:val="00875E01"/>
    <w:rsid w:val="008A2836"/>
    <w:rsid w:val="008A3BFD"/>
    <w:rsid w:val="008B2041"/>
    <w:rsid w:val="0092707F"/>
    <w:rsid w:val="009A27DE"/>
    <w:rsid w:val="009E7EBA"/>
    <w:rsid w:val="00A038EA"/>
    <w:rsid w:val="00A443B9"/>
    <w:rsid w:val="00A54FF6"/>
    <w:rsid w:val="00A96AA2"/>
    <w:rsid w:val="00AD7F44"/>
    <w:rsid w:val="00B112C3"/>
    <w:rsid w:val="00B3288C"/>
    <w:rsid w:val="00B830F9"/>
    <w:rsid w:val="00BE5573"/>
    <w:rsid w:val="00BE7C8F"/>
    <w:rsid w:val="00BF628E"/>
    <w:rsid w:val="00BF75B6"/>
    <w:rsid w:val="00C23AB8"/>
    <w:rsid w:val="00C4211D"/>
    <w:rsid w:val="00C77E53"/>
    <w:rsid w:val="00C83933"/>
    <w:rsid w:val="00CA6411"/>
    <w:rsid w:val="00CD5146"/>
    <w:rsid w:val="00D955D1"/>
    <w:rsid w:val="00DB31D5"/>
    <w:rsid w:val="00DF4971"/>
    <w:rsid w:val="00E31414"/>
    <w:rsid w:val="00E76FCD"/>
    <w:rsid w:val="00E90BE6"/>
    <w:rsid w:val="00EB02B8"/>
    <w:rsid w:val="00EB2554"/>
    <w:rsid w:val="00F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2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B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20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0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28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2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B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20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0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B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28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2021-02-12T15:09:00Z</dcterms:created>
  <dcterms:modified xsi:type="dcterms:W3CDTF">2021-02-13T15:58:00Z</dcterms:modified>
</cp:coreProperties>
</file>