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74" w:rsidRDefault="005A7071" w:rsidP="00911426">
      <w:pPr>
        <w:spacing w:after="0"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  <w:r w:rsidRPr="005A7071">
        <w:rPr>
          <w:rStyle w:val="caps"/>
          <w:rFonts w:ascii="Times New Roman" w:hAnsi="Times New Roman" w:cs="Times New Roman"/>
          <w:b/>
          <w:sz w:val="28"/>
          <w:szCs w:val="28"/>
        </w:rPr>
        <w:t xml:space="preserve">02-395 ГЗТМ-893А, ГЗСА-893А мебельный фургон с задней двухстворчатой дверью для доставки мебели населению на шасси ГАЗ-52-01 4х2, </w:t>
      </w:r>
      <w:proofErr w:type="spellStart"/>
      <w:r w:rsidRPr="005A7071">
        <w:rPr>
          <w:rStyle w:val="caps"/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5A7071">
        <w:rPr>
          <w:rStyle w:val="caps"/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5A7071">
        <w:rPr>
          <w:rStyle w:val="caps"/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A7071">
        <w:rPr>
          <w:rStyle w:val="caps"/>
          <w:rFonts w:ascii="Times New Roman" w:hAnsi="Times New Roman" w:cs="Times New Roman"/>
          <w:b/>
          <w:sz w:val="28"/>
          <w:szCs w:val="28"/>
        </w:rPr>
        <w:t xml:space="preserve">, объём 17.3 м3, мест 2, полный вес 5.4 </w:t>
      </w:r>
      <w:proofErr w:type="spellStart"/>
      <w:r w:rsidRPr="005A7071">
        <w:rPr>
          <w:rStyle w:val="caps"/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A7071">
        <w:rPr>
          <w:rStyle w:val="caps"/>
          <w:rFonts w:ascii="Times New Roman" w:hAnsi="Times New Roman" w:cs="Times New Roman"/>
          <w:b/>
          <w:sz w:val="28"/>
          <w:szCs w:val="28"/>
        </w:rPr>
        <w:t xml:space="preserve">, ГАЗ-52-01 75 </w:t>
      </w:r>
      <w:proofErr w:type="spellStart"/>
      <w:r w:rsidRPr="005A7071">
        <w:rPr>
          <w:rStyle w:val="caps"/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A7071">
        <w:rPr>
          <w:rStyle w:val="caps"/>
          <w:rFonts w:ascii="Times New Roman" w:hAnsi="Times New Roman" w:cs="Times New Roman"/>
          <w:b/>
          <w:sz w:val="28"/>
          <w:szCs w:val="28"/>
        </w:rPr>
        <w:t>, 70</w:t>
      </w:r>
      <w:r>
        <w:rPr>
          <w:rStyle w:val="caps"/>
          <w:rFonts w:ascii="Times New Roman" w:hAnsi="Times New Roman" w:cs="Times New Roman"/>
          <w:b/>
          <w:sz w:val="28"/>
          <w:szCs w:val="28"/>
        </w:rPr>
        <w:t xml:space="preserve"> км/час, ГЗСА г. Горький 1965-91</w:t>
      </w:r>
      <w:r w:rsidRPr="005A7071">
        <w:rPr>
          <w:rStyle w:val="caps"/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81C37" w:rsidRDefault="00C81C37" w:rsidP="00911426">
      <w:pPr>
        <w:spacing w:after="0"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</w:p>
    <w:p w:rsidR="00C81C37" w:rsidRDefault="00C81C37" w:rsidP="00911426">
      <w:pPr>
        <w:spacing w:after="0"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</w:p>
    <w:p w:rsidR="00C81C37" w:rsidRDefault="00C81C37" w:rsidP="00911426">
      <w:pPr>
        <w:spacing w:after="0"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</w:p>
    <w:p w:rsidR="00C81C37" w:rsidRDefault="00C81C37" w:rsidP="00911426">
      <w:pPr>
        <w:spacing w:after="0"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</w:p>
    <w:p w:rsidR="00C81C37" w:rsidRDefault="00C81C37" w:rsidP="00911426">
      <w:pPr>
        <w:spacing w:after="0"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</w:p>
    <w:p w:rsidR="00C81C37" w:rsidRDefault="00C81C37" w:rsidP="00911426">
      <w:pPr>
        <w:spacing w:after="0"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</w:p>
    <w:p w:rsidR="00C81C37" w:rsidRDefault="00C81C37" w:rsidP="00911426">
      <w:pPr>
        <w:spacing w:after="0"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</w:p>
    <w:p w:rsidR="00C81C37" w:rsidRDefault="00C81C37" w:rsidP="00911426">
      <w:pPr>
        <w:spacing w:after="0"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</w:p>
    <w:p w:rsidR="00C81C37" w:rsidRDefault="00C81C37" w:rsidP="00911426">
      <w:pPr>
        <w:spacing w:after="0"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</w:p>
    <w:p w:rsidR="00C81C37" w:rsidRDefault="00C81C37" w:rsidP="00911426">
      <w:pPr>
        <w:spacing w:after="0"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</w:p>
    <w:p w:rsidR="00C81C37" w:rsidRDefault="00C81C37" w:rsidP="00911426">
      <w:pPr>
        <w:spacing w:after="0"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</w:p>
    <w:p w:rsidR="00C81C37" w:rsidRDefault="00C81C37" w:rsidP="00911426">
      <w:pPr>
        <w:spacing w:after="0"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</w:p>
    <w:p w:rsidR="00C81C37" w:rsidRDefault="00C81C37" w:rsidP="00911426">
      <w:pPr>
        <w:spacing w:after="0"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</w:p>
    <w:p w:rsidR="00C81C37" w:rsidRDefault="00C81C37" w:rsidP="00911426">
      <w:pPr>
        <w:spacing w:after="0"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</w:p>
    <w:p w:rsidR="00C81C37" w:rsidRDefault="00C81C37" w:rsidP="00911426">
      <w:pPr>
        <w:spacing w:after="0"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</w:p>
    <w:p w:rsidR="00BD4D74" w:rsidRPr="004140AA" w:rsidRDefault="00C81C37" w:rsidP="00911426">
      <w:pPr>
        <w:spacing w:after="0"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6EB524" wp14:editId="79282467">
            <wp:simplePos x="0" y="0"/>
            <wp:positionH relativeFrom="margin">
              <wp:posOffset>876300</wp:posOffset>
            </wp:positionH>
            <wp:positionV relativeFrom="margin">
              <wp:posOffset>895350</wp:posOffset>
            </wp:positionV>
            <wp:extent cx="4457700" cy="31800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D74" w:rsidRPr="00BD4D74" w:rsidRDefault="00BD4D74" w:rsidP="0091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Особенностью перевозки мебели является незначительный ее объемный вес, что диктует необходимость создания кузовов</w:t>
      </w:r>
      <w:r w:rsidR="00F4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D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фургонов максимально возможной площади и вместимости. Кузов-фургон должен иметь достаточную внутреннюю высоту (не менее 2100 мм), мягкую обивку, мягкие приспособления для фиксации и крепления мебели при перевозке ее без упаковки.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массовым автомобилем </w:t>
      </w:r>
      <w:r w:rsidR="008200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D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перевозки мебели </w:t>
      </w:r>
      <w:r w:rsidR="00820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 w:rsidRPr="00BD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0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</w:t>
      </w:r>
      <w:r w:rsidRPr="00BD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ГЗТМ-954 производства Горьковского завода торгового машиностроения </w:t>
      </w:r>
      <w:r w:rsidR="00820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</w:t>
      </w:r>
      <w:r w:rsidRPr="00BD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ГАЗ-51А с удлиненной базой.</w:t>
      </w:r>
      <w:r w:rsidR="001C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запуска в производство семейства грузовиков </w:t>
      </w:r>
      <w:r w:rsidR="0002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ГАЗ-52 начали выпускать </w:t>
      </w:r>
      <w:r w:rsidR="00F4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26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мебельные</w:t>
      </w:r>
      <w:r w:rsidR="000261E9" w:rsidRPr="0002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</w:t>
      </w:r>
      <w:r w:rsidR="000261E9">
        <w:rPr>
          <w:rFonts w:ascii="Times New Roman" w:eastAsia="Times New Roman" w:hAnsi="Times New Roman" w:cs="Times New Roman"/>
          <w:sz w:val="24"/>
          <w:szCs w:val="24"/>
          <w:lang w:eastAsia="ru-RU"/>
        </w:rPr>
        <w:t>ы ГЗСА-893 и ГЗСА-893A.</w:t>
      </w:r>
      <w:r w:rsidR="000261E9" w:rsidRPr="0002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3D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раз</w:t>
      </w:r>
      <w:r w:rsidR="000261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личия</w:t>
      </w:r>
      <w:r w:rsidR="000261E9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заключались в отсутствии грузоподъемного борта и несколько модернизированном кузове.</w:t>
      </w:r>
    </w:p>
    <w:p w:rsidR="008D1CE0" w:rsidRDefault="00F466F0" w:rsidP="0091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Автомобиль-фургон ГЗСА-893A, </w:t>
      </w:r>
      <w:r w:rsidR="006B78B7" w:rsidRPr="006B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ГЗТМ-893A выпускался c 1965 года Горьковским заводом специализированных автомобилей на шасси </w:t>
      </w:r>
      <w:r w:rsidR="006B78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ГАЗ-52А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увеличенной базой</w:t>
      </w:r>
      <w:r w:rsidR="006B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78B7" w:rsidRPr="006B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на шасси ГАЗ-52-01. </w:t>
      </w:r>
    </w:p>
    <w:p w:rsidR="001C4A0F" w:rsidRDefault="008D1CE0" w:rsidP="0091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0AA"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</w:t>
      </w:r>
      <w:r w:rsidR="006B78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40AA"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деревометаллический, снаружи </w:t>
      </w:r>
      <w:proofErr w:type="gramStart"/>
      <w:r w:rsidR="004140AA"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обшит</w:t>
      </w:r>
      <w:proofErr w:type="gramEnd"/>
      <w:r w:rsidR="004140AA"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листовой сталью</w:t>
      </w:r>
      <w:r w:rsidR="004115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612E2D" w:rsidRPr="00612E2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рыша покрыта фанерой, по которой натянута брезентовая парусина. Пол кузова ровный, потолок кузова обшит фанерой.</w:t>
      </w:r>
      <w:r w:rsidR="0041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5F6" w:rsidRPr="0041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кузова для предохранения мебели от повреждений по всему периметру стенок установлены в три ряда полумягкие валики. Вдоль крыши внутри кузова в три ряда натянуты струны, на которых подвешиваются мягкие жгуты-прокладки для разделения мебели. По боковым стенкам кузова в два ряда установлены стальные прутья, к которым крепятся передвижные полумягкие поперечины, служащие для разделения и крепления мебели в рядах. В задней стенке кузова имеется двухстворчатая загрузочная дверь, которая открывается до соприкосновения с боковинами. Проем двери равен внутренней ширине и высоте кузова. Для облегчения погрузки и выгрузки мебели сзади кузова под дверью установлен трап с рольгангами, который при движении автомобиля убирается на продольные брусья основания. </w:t>
      </w:r>
      <w:proofErr w:type="gramStart"/>
      <w:r w:rsidR="004115F6" w:rsidRPr="004115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в дневное время имеет естественное освещение через окна, расположенные в верхней части боковых стенок, в вечернее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5F6" w:rsidRPr="00411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освещается двумя электрическими плафонами, установленными внутри кузова у двери.</w:t>
      </w:r>
      <w:proofErr w:type="gramEnd"/>
      <w:r w:rsidR="00F8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0AA"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Вентиляция кузова осуществля</w:t>
      </w:r>
      <w:r w:rsidR="006B78B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через вентиляционные люки.</w:t>
      </w:r>
    </w:p>
    <w:p w:rsidR="008B0837" w:rsidRDefault="008B0837" w:rsidP="0091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C332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ебельный фургон ГЗСА-893А пользовался большим спросом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2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конструкция не изменялась много лет, и с производства фургон сняли лишь в конце 80-х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3E7" w:rsidRDefault="00F803E7" w:rsidP="0091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недостатком кузовов-фургонов ГЗТМ-954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ГЗТМ-893 являлось</w:t>
      </w:r>
      <w:r w:rsidRPr="00F8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при перевозке мебели номинальная грузоподъ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емность автомобилей использовалась</w:t>
      </w:r>
      <w:r w:rsidRPr="00F8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на 60—65%. Вместе с </w:t>
      </w:r>
      <w:r w:rsidRPr="00F80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 значительно увеличить площадь пола и объем кузова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 уже не представлялось</w:t>
      </w:r>
      <w:r w:rsidRPr="00F8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возможным.</w:t>
      </w:r>
    </w:p>
    <w:p w:rsidR="002D6A7A" w:rsidRPr="00C81C37" w:rsidRDefault="002D6A7A" w:rsidP="00911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</w:t>
      </w:r>
      <w:r w:rsidR="00A174A9" w:rsidRPr="00C81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D6A7A" w:rsidRPr="002D6A7A" w:rsidRDefault="002D6A7A" w:rsidP="002D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ГЗСА-89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3АБ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втомобиль-фургон на шасси ГАЗ-52-08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двигателем 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ГАЗ-52-07 для работы на сжиженных газах</w:t>
      </w:r>
      <w:r w:rsidR="00A1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1979 г.</w:t>
      </w:r>
    </w:p>
    <w:p w:rsidR="002D6A7A" w:rsidRPr="002D6A7A" w:rsidRDefault="002D6A7A" w:rsidP="00A1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ГЗСА-893Б</w:t>
      </w:r>
      <w:r w:rsidR="00A1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втомобиль-фургон на шасси ГАЗ-52-28</w:t>
      </w:r>
      <w:r w:rsidR="00A1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двигателем </w:t>
      </w:r>
      <w:r w:rsidR="00A174A9" w:rsidRPr="00A17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ГАЗ-52-07</w:t>
      </w:r>
      <w:r w:rsidR="00A1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на сжатом газе 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1985 г.</w:t>
      </w:r>
      <w:r w:rsidR="00A1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AC4" w:rsidRPr="008B0837" w:rsidRDefault="008B0837" w:rsidP="00911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66C6E" w:rsidRDefault="004140AA" w:rsidP="0091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Грузоподъемность, </w:t>
      </w:r>
      <w:proofErr w:type="gramStart"/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2000</w:t>
      </w:r>
      <w:r w:rsidR="0096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CE0" w:rsidRDefault="004140AA" w:rsidP="0091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масса, </w:t>
      </w:r>
      <w:proofErr w:type="gramStart"/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3250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на переднюю ось 1315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, − на заднюю ось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1935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Полная масса, кг 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5400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на переднюю ось 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1620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на заднюю ось 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3780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Габаритные размеры, мм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длина 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6460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ширина 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3460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Внутренние размеры, мм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длина 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3750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ширина 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2215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высота </w:t>
      </w:r>
      <w:r w:rsid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2100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пола, м² – 8,2</w:t>
      </w:r>
    </w:p>
    <w:p w:rsidR="000E5ABB" w:rsidRDefault="004140AA" w:rsidP="00911426">
      <w:pPr>
        <w:spacing w:after="0" w:line="240" w:lineRule="auto"/>
      </w:pPr>
      <w:proofErr w:type="gramStart"/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кузова, м³ – 17,3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Погрузочная высота, мм – 1250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Проем двери кузова, мм – 2170х2000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Уголь открывания двери, град – 270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кузова, кг – 950</w:t>
      </w:r>
      <w:proofErr w:type="gramEnd"/>
    </w:p>
    <w:p w:rsidR="00484AC4" w:rsidRDefault="00D0270B" w:rsidP="0091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AC4" w:rsidRPr="008B0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ГАЗ-52А</w:t>
      </w:r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представлял собой шасси с колесной базой 3700</w:t>
      </w:r>
      <w:r w:rsid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 для установки специализированных фургонов. </w:t>
      </w:r>
      <w:r w:rsidR="009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пытно-промышленными партиями ГАЗ-52А стали выпускаться с середины 1964 года, а серийно - с середины 1965 года и до 1966 года, пока в производство не было запущено модернизированное шасси ГАЗ-52-01. По сути, ГАЗ-52А был первым серийным грузовиком 52-го семейства. Шасси ГАЗ-52-01 предста</w:t>
      </w:r>
      <w:r w:rsidR="008579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вляло собой</w:t>
      </w:r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модели ГАЗ-52</w:t>
      </w:r>
      <w:r w:rsidR="005A7071">
        <w:rPr>
          <w:rFonts w:ascii="Times New Roman" w:eastAsia="Times New Roman" w:hAnsi="Times New Roman" w:cs="Times New Roman"/>
          <w:sz w:val="24"/>
          <w:szCs w:val="24"/>
          <w:lang w:eastAsia="ru-RU"/>
        </w:rPr>
        <w:t>A и выпускалось в период 1966-</w:t>
      </w:r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5A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(по некоторым данным - до 1993 года) и служило основой для установки различных цистерн и кузовов-фургонов. Размер колесной базы этого шасси составлял 3700</w:t>
      </w:r>
      <w:r w:rsidR="0096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мм. </w:t>
      </w:r>
      <w:r w:rsidR="009F6C1C" w:rsidRPr="009F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шасси ГАЗ-52-01 заводом был разработан бортовой грузовик ГАЗ-52-03 грузоподъёмностью 2,5 т с колёсной базой 3700 мм, который сходил с конвейера с июня 1966-го по 1 января 1974 года. </w:t>
      </w:r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ГАЗ-52-01 выпускались топливозаправщики и </w:t>
      </w:r>
      <w:proofErr w:type="spellStart"/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топливотранспортировщики</w:t>
      </w:r>
      <w:proofErr w:type="spellEnd"/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Одесского автоагрегатного завода, </w:t>
      </w:r>
      <w:proofErr w:type="spellStart"/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Коммаша</w:t>
      </w:r>
      <w:proofErr w:type="spellEnd"/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>", цистерны для перевозки воды и молока вологодского "</w:t>
      </w:r>
      <w:proofErr w:type="spellStart"/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Мясомолмаша</w:t>
      </w:r>
      <w:proofErr w:type="spellEnd"/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</w:t>
      </w:r>
      <w:proofErr w:type="spellStart"/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далматовского</w:t>
      </w:r>
      <w:proofErr w:type="spellEnd"/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Молмашстроя</w:t>
      </w:r>
      <w:proofErr w:type="spellEnd"/>
      <w:r w:rsidR="00484AC4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>", автофургоны Горьковского завода специализированных автомобилей</w:t>
      </w:r>
      <w:r w:rsid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069" w:rsidRDefault="00696069" w:rsidP="00911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заводе-изготовителе.</w:t>
      </w:r>
    </w:p>
    <w:p w:rsidR="00696069" w:rsidRPr="00696069" w:rsidRDefault="00696069" w:rsidP="00911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ГЗСА</w:t>
      </w:r>
      <w:r w:rsidR="006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аббревиатура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 завод специальных автомобилей. Все фургоны «Хле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б» и «Почта»,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автохолодильники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автолавки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пр.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ГАЗ — это ГЗСА.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был основан в 1937 году как кузовная мастерская конторы </w:t>
      </w:r>
      <w:proofErr w:type="spellStart"/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Главторга</w:t>
      </w:r>
      <w:proofErr w:type="spellEnd"/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и на первых порах производил автобусные кузова и прицепы. Годом позже в линейке появились разнообразные кузова для грузовых автомобилей, и с тех пор завод стал ведущим советским производителем спецтехники. Он сменил несколько названий. Назывался Горьковским </w:t>
      </w:r>
      <w:proofErr w:type="spellStart"/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автокузовным</w:t>
      </w:r>
      <w:proofErr w:type="spellEnd"/>
      <w:r w:rsidRPr="007F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заводом, Горьковским автомобильным заводом холодильного оборудования, Горьковским заводом торгового машиностроения, а аббревиатуру ГЗСА получил в 1966 году. </w:t>
      </w:r>
      <w:r w:rsidRPr="0085791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1983 году выпущен 300-тысячный фургон.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1992 года открытое акционерное общество. Выпускал фургоны на шасси ГАЗ, </w:t>
      </w:r>
      <w:proofErr w:type="spellStart"/>
      <w:r w:rsidRPr="00857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Pr="0085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КамАЗ, УАЗ, </w:t>
      </w:r>
      <w:proofErr w:type="spellStart"/>
      <w:r w:rsidRPr="0085791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</w:t>
      </w:r>
      <w:proofErr w:type="spellEnd"/>
      <w:r w:rsidRPr="0085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садовые домики, инвалидные коляски, тележки для мороженого. </w:t>
      </w:r>
      <w:proofErr w:type="gramStart"/>
      <w:r w:rsidRPr="00857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</w:t>
      </w:r>
      <w:proofErr w:type="gramEnd"/>
      <w:r w:rsidRPr="0085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 году.</w:t>
      </w:r>
    </w:p>
    <w:p w:rsidR="009F6C1C" w:rsidRPr="009F6C1C" w:rsidRDefault="009F6C1C" w:rsidP="00911426">
      <w:pPr>
        <w:pStyle w:val="a7"/>
        <w:spacing w:before="0" w:beforeAutospacing="0" w:after="0" w:afterAutospacing="0"/>
        <w:rPr>
          <w:b/>
        </w:rPr>
      </w:pPr>
      <w:r w:rsidRPr="009F6C1C">
        <w:rPr>
          <w:b/>
        </w:rPr>
        <w:t>К</w:t>
      </w:r>
      <w:r w:rsidR="00966C6E">
        <w:rPr>
          <w:b/>
        </w:rPr>
        <w:t xml:space="preserve">раткое техническое описание </w:t>
      </w:r>
      <w:r w:rsidR="00D178B1">
        <w:rPr>
          <w:b/>
        </w:rPr>
        <w:t>базового автомобиля.</w:t>
      </w:r>
      <w:r w:rsidRPr="009F6C1C">
        <w:rPr>
          <w:b/>
        </w:rPr>
        <w:t xml:space="preserve"> </w:t>
      </w:r>
      <w:r w:rsidR="00966C6E">
        <w:rPr>
          <w:b/>
        </w:rPr>
        <w:t xml:space="preserve"> </w:t>
      </w:r>
    </w:p>
    <w:p w:rsidR="009F6C1C" w:rsidRDefault="009F6C1C" w:rsidP="00911426">
      <w:pPr>
        <w:pStyle w:val="a7"/>
        <w:spacing w:before="0" w:beforeAutospacing="0" w:after="0" w:afterAutospacing="0"/>
      </w:pPr>
      <w:r>
        <w:t xml:space="preserve">1. ГАЗ-52-01 (ГАЗ-52А) – шасси колёсной формулы 4×2 грузоподъёмностью 3000 кг (масса </w:t>
      </w:r>
      <w:proofErr w:type="spellStart"/>
      <w:r>
        <w:t>спецкузова</w:t>
      </w:r>
      <w:proofErr w:type="spellEnd"/>
      <w:r>
        <w:t xml:space="preserve"> и полезного груза).</w:t>
      </w:r>
      <w:r>
        <w:br/>
        <w:t>2. ГАЗ-52-03 – грузовой бортовой автомобиль колёсной формулы 4×2 грузоподъёмностью 2500 кг.</w:t>
      </w:r>
      <w:r>
        <w:br/>
      </w:r>
      <w:proofErr w:type="gramStart"/>
      <w:r w:rsidRPr="00C81C37">
        <w:rPr>
          <w:b/>
        </w:rPr>
        <w:t>Двигатель</w:t>
      </w:r>
      <w:r>
        <w:t xml:space="preserve"> – ГАЗ-52-01 (до июня 1966 года имел маркировку ГАЗ-52), 6-цилиндровый, карбюраторный, четырёхтактный, рядный, </w:t>
      </w:r>
      <w:proofErr w:type="spellStart"/>
      <w:r>
        <w:t>нижнеклапанный</w:t>
      </w:r>
      <w:proofErr w:type="spellEnd"/>
      <w:r>
        <w:t xml:space="preserve">, мощностью 75 </w:t>
      </w:r>
      <w:proofErr w:type="spellStart"/>
      <w:r>
        <w:t>л.с</w:t>
      </w:r>
      <w:proofErr w:type="spellEnd"/>
      <w:r>
        <w:t xml:space="preserve">. при 2800 об/мин (с ограничителем), максимальным крутящим моментом 21 </w:t>
      </w:r>
      <w:proofErr w:type="spellStart"/>
      <w:r>
        <w:t>кГм</w:t>
      </w:r>
      <w:proofErr w:type="spellEnd"/>
      <w:r>
        <w:t xml:space="preserve"> при 1600-2000 об/мин, степенью сжатия 6,2 и рабочим объёмом 3485 см3.</w:t>
      </w:r>
      <w:proofErr w:type="gramEnd"/>
      <w:r>
        <w:br/>
      </w:r>
      <w:r w:rsidR="00421E77">
        <w:t xml:space="preserve"> </w:t>
      </w:r>
      <w:r>
        <w:t>Бензобак ёмкостью 90 л располагался на раме под кабиной. Топливо – бензин А-72.</w:t>
      </w:r>
      <w:r>
        <w:br/>
      </w:r>
      <w:r w:rsidR="00421E77">
        <w:t xml:space="preserve"> </w:t>
      </w:r>
      <w:r>
        <w:t xml:space="preserve">Система смазки – комбинированная: под давлением и разбрызгиванием, с фильтрами грубой и </w:t>
      </w:r>
      <w:r>
        <w:lastRenderedPageBreak/>
        <w:t xml:space="preserve">тонкой очистки масла. </w:t>
      </w:r>
      <w:r w:rsidR="00421E77">
        <w:t xml:space="preserve"> </w:t>
      </w:r>
      <w:r>
        <w:br/>
      </w:r>
      <w:r w:rsidR="0049591B">
        <w:t xml:space="preserve"> </w:t>
      </w:r>
      <w:r w:rsidRPr="00C81C37">
        <w:rPr>
          <w:b/>
        </w:rPr>
        <w:t>Система охлаждения</w:t>
      </w:r>
      <w:r>
        <w:t xml:space="preserve"> – жидкостная, закрытая, с принудительной циркуляцией охлаждающей жидкости, с насосом центробежного типа. Радиатор – </w:t>
      </w:r>
      <w:proofErr w:type="spellStart"/>
      <w:r>
        <w:t>трубчато</w:t>
      </w:r>
      <w:proofErr w:type="spellEnd"/>
      <w:r>
        <w:t>-ленточный (змейковый), трёхрядный.</w:t>
      </w:r>
      <w:r w:rsidR="00203238">
        <w:t xml:space="preserve"> Также в систему входили 4-</w:t>
      </w:r>
      <w:r>
        <w:t>лопастный вентилятор и термостат жидкостного типа.</w:t>
      </w:r>
      <w:r w:rsidR="0049591B">
        <w:t xml:space="preserve"> </w:t>
      </w:r>
      <w:r>
        <w:t>Часть автомобилей оборудовалась жидкостным пусковым подогревателем с лампой.</w:t>
      </w:r>
      <w:r>
        <w:br/>
      </w:r>
      <w:r w:rsidRPr="00C81C37">
        <w:rPr>
          <w:b/>
        </w:rPr>
        <w:t>Сцепление</w:t>
      </w:r>
      <w:r>
        <w:t xml:space="preserve"> – однодисковое, сухое, с механическим приводом.</w:t>
      </w:r>
      <w:r>
        <w:br/>
      </w:r>
      <w:r w:rsidRPr="00C81C37">
        <w:rPr>
          <w:b/>
        </w:rPr>
        <w:t>Коробка передач</w:t>
      </w:r>
      <w:r>
        <w:t xml:space="preserve"> – трёхходовая, четырёхступенчатая (четыре передачи вперёд, одна назад, четвёртая передача – прямая), с синхронизатором инерционного типа для включения III и IV передач.</w:t>
      </w:r>
      <w:r>
        <w:br/>
      </w:r>
      <w:r w:rsidRPr="00C81C37">
        <w:rPr>
          <w:b/>
        </w:rPr>
        <w:t xml:space="preserve">Карданная передача </w:t>
      </w:r>
      <w:r>
        <w:t xml:space="preserve">– открытого типа, состояла из основного карданного вала, промежуточного карданного вала с промежуточной опорой и трёх карданных шарниров с игольчатыми подшипниками. </w:t>
      </w:r>
      <w:r w:rsidR="0049591B">
        <w:t xml:space="preserve"> </w:t>
      </w:r>
      <w:r>
        <w:br/>
      </w:r>
      <w:r w:rsidRPr="00C81C37">
        <w:rPr>
          <w:b/>
        </w:rPr>
        <w:t xml:space="preserve">Главная передача </w:t>
      </w:r>
      <w:r>
        <w:t>– спирально-коническая, с передаточным отношением 6,67. Дифференциал – конический, с четырьмя сателлитами. Полуоси – полностью разгруженные.</w:t>
      </w:r>
      <w:r>
        <w:br/>
      </w:r>
      <w:r w:rsidRPr="00C81C37">
        <w:rPr>
          <w:b/>
        </w:rPr>
        <w:t xml:space="preserve">Передний мост </w:t>
      </w:r>
      <w:r>
        <w:t>представлял собой штампованную балку двутаврового сечения.</w:t>
      </w:r>
      <w:r>
        <w:br/>
      </w:r>
      <w:r w:rsidRPr="00C81C37">
        <w:rPr>
          <w:b/>
        </w:rPr>
        <w:t>Подвеска</w:t>
      </w:r>
      <w:r>
        <w:t xml:space="preserve"> зависимая, на продольных полуэллиптических рессорах с перемещающимися задними концами, передняя – с гидравлическими телескопическими амортизаторами двустороннего действия, задняя – с дополнительными рессорами (подрессорниками). </w:t>
      </w:r>
      <w:r w:rsidR="0049591B">
        <w:t xml:space="preserve"> </w:t>
      </w:r>
      <w:r>
        <w:br/>
      </w:r>
      <w:r w:rsidRPr="00C81C37">
        <w:rPr>
          <w:b/>
        </w:rPr>
        <w:t xml:space="preserve">Рулевой механизм </w:t>
      </w:r>
      <w:r>
        <w:t xml:space="preserve">– типа глобоидальный червяк с </w:t>
      </w:r>
      <w:proofErr w:type="spellStart"/>
      <w:r>
        <w:t>двухгребневым</w:t>
      </w:r>
      <w:proofErr w:type="spellEnd"/>
      <w:r>
        <w:t xml:space="preserve"> роликом.</w:t>
      </w:r>
      <w:r>
        <w:br/>
      </w:r>
      <w:r w:rsidRPr="00C81C37">
        <w:rPr>
          <w:b/>
        </w:rPr>
        <w:t>Тормозная система</w:t>
      </w:r>
      <w:r>
        <w:t>:</w:t>
      </w:r>
      <w:r>
        <w:br/>
        <w:t>– одноконтурная, рабочие ножные тормоза колодочные, барабанного типа, на все колёса с гидравлическим приводом;</w:t>
      </w:r>
      <w:r>
        <w:br/>
        <w:t>– стояночный ручной тормоз колодочный, барабанного типа, с механическим приводом на трансмиссию (вторичный вал коробки передач).</w:t>
      </w:r>
      <w:r>
        <w:br/>
      </w:r>
      <w:r w:rsidRPr="00C81C37">
        <w:rPr>
          <w:b/>
        </w:rPr>
        <w:t>Рама</w:t>
      </w:r>
      <w:r>
        <w:t xml:space="preserve"> состояла из холодно-штампованных лонжеронов швеллерного сечения переменной высоты, соединённых между собой с помощью клёпки шестью силовыми поперечинами и отдельной поперечиной для крепления промежуточной опоры карданной передачи. Спереди монтировались буфер и два буксирных крюка, на задней поперечине – буксирный прибор с резиновым буфером.</w:t>
      </w:r>
      <w:r>
        <w:br/>
      </w:r>
      <w:r w:rsidR="0089143F">
        <w:rPr>
          <w:b/>
        </w:rPr>
        <w:t>К</w:t>
      </w:r>
      <w:r w:rsidR="0089143F" w:rsidRPr="0089143F">
        <w:rPr>
          <w:b/>
        </w:rPr>
        <w:t>олёса</w:t>
      </w:r>
      <w:r w:rsidR="0089143F">
        <w:t xml:space="preserve"> н</w:t>
      </w:r>
      <w:bookmarkStart w:id="0" w:name="_GoBack"/>
      <w:bookmarkEnd w:id="0"/>
      <w:r>
        <w:t>а машину ставились дисковые с уширенным ободом размера 6,0Б-20 (152Б-508) с конической посадочной полкой, с шестью окнами, с разрезным бортовым кольцом, выполнявшим функцию замочного. Диски крепились на 6 шпильках. Размер шин – 7,50-20" (220-508) или 200-508Р (</w:t>
      </w:r>
      <w:proofErr w:type="gramStart"/>
      <w:r>
        <w:t>радиальные</w:t>
      </w:r>
      <w:proofErr w:type="gramEnd"/>
      <w:r>
        <w:t xml:space="preserve"> типа Р). </w:t>
      </w:r>
      <w:proofErr w:type="gramStart"/>
      <w:r>
        <w:t>Запасное колесо размещалось на откидном кронштейне, унифицированном с применявшимся до 1961 года на ГАЗ-51А, располагавшемся на правом лонжероне рамы.</w:t>
      </w:r>
      <w:proofErr w:type="gramEnd"/>
      <w:r>
        <w:br/>
      </w:r>
      <w:proofErr w:type="gramStart"/>
      <w:r>
        <w:t>В первые годы выпуска (1964-1968) на часть автомобилей устанавливались колёса от ГАЗ-51А: дисковые, с ободом размера 20×7 (5,00-20), с шестью окнами, с бортовым и разрезным замочным кольцами, крепившиеся на шести шпильках.</w:t>
      </w:r>
      <w:proofErr w:type="gramEnd"/>
      <w:r>
        <w:t xml:space="preserve"> Размер шин такой же</w:t>
      </w:r>
      <w:r w:rsidR="00543381">
        <w:t>.</w:t>
      </w:r>
      <w:r>
        <w:br/>
      </w:r>
      <w:r w:rsidRPr="0089143F">
        <w:rPr>
          <w:b/>
        </w:rPr>
        <w:t>Система электрооборудования</w:t>
      </w:r>
      <w:r>
        <w:t xml:space="preserve"> – 12-вольтовая, постоянного тока, однопроводная, с отрицательными выводами зажимов источников и потребителей электроэнергии на корпус.</w:t>
      </w:r>
      <w:r>
        <w:br/>
      </w:r>
      <w:r w:rsidR="006474A1">
        <w:t xml:space="preserve"> </w:t>
      </w:r>
      <w:r w:rsidRPr="0089143F">
        <w:rPr>
          <w:b/>
        </w:rPr>
        <w:t>Кабина</w:t>
      </w:r>
      <w:r>
        <w:t xml:space="preserve"> цельнометаллическая, двухместная, с раздельными регулируемым сиденьем для водителя и сиденьем для пассажира, оборудовалась </w:t>
      </w:r>
      <w:proofErr w:type="spellStart"/>
      <w:r>
        <w:t>отопителем</w:t>
      </w:r>
      <w:proofErr w:type="spellEnd"/>
      <w:r>
        <w:t>, работавшим от системы охлаждения двигателя, электрическим стеклоочистителем с двумя щётками и опрыскивателем для обмыва ветрового стекла.</w:t>
      </w:r>
      <w:r w:rsidR="0049591B">
        <w:t xml:space="preserve"> </w:t>
      </w:r>
      <w:r>
        <w:br/>
      </w:r>
      <w:r w:rsidR="00543381">
        <w:t xml:space="preserve"> </w:t>
      </w:r>
      <w:r w:rsidRPr="0089143F">
        <w:rPr>
          <w:b/>
        </w:rPr>
        <w:t>Бортовая платформа</w:t>
      </w:r>
      <w:r>
        <w:t xml:space="preserve"> грузовика ГАЗ-52-03 – деревянная, с клёпаным металлическим каркасом основания, деревянными поперечными брусьями основания и с тремя откидными бортами. </w:t>
      </w:r>
      <w:r w:rsidR="00696069">
        <w:t xml:space="preserve"> </w:t>
      </w:r>
    </w:p>
    <w:p w:rsidR="009F6C1C" w:rsidRDefault="009F6C1C" w:rsidP="00911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1C" w:rsidRPr="009F6C1C" w:rsidRDefault="009F6C1C" w:rsidP="0091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ГАЗ-52-01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371"/>
        <w:gridCol w:w="5981"/>
      </w:tblGrid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9F6C1C" w:rsidRPr="009F6C1C" w:rsidRDefault="00203238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1964-93 </w:t>
            </w:r>
            <w:r w:rsidR="009F6C1C"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кг.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gridSpan w:val="2"/>
            <w:hideMark/>
          </w:tcPr>
          <w:p w:rsidR="009F6C1C" w:rsidRPr="009F6C1C" w:rsidRDefault="009F6C1C" w:rsidP="00911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Длина/Ширина/Высота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6150/1965/2190 мм.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5465 кг.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масса прицепа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кг.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Дорожный просвет задний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мм.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поворота, наружный габаритный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м.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gridSpan w:val="2"/>
            <w:hideMark/>
          </w:tcPr>
          <w:p w:rsidR="009F6C1C" w:rsidRPr="009F6C1C" w:rsidRDefault="009F6C1C" w:rsidP="00911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ГАЗ-52-01</w:t>
            </w: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рядный, карбюраторный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 см</w:t>
            </w: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2600 </w:t>
            </w:r>
            <w:proofErr w:type="gramStart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205,9 </w:t>
            </w:r>
            <w:proofErr w:type="spellStart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1400-1600 об/мин.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Цилиндров / клапанов 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12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Клапанный механизм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Тактность</w:t>
            </w:r>
            <w:proofErr w:type="spellEnd"/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цилиндров 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мм.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 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мм.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блока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чугун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ГБЦ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алюминий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6,2 - 6,7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  <w:proofErr w:type="gramStart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84ММ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Жидкостное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Аккумуляторная батарея 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6СТ-68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Прерыватель-распределитель 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Р20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Катушка зажигания 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Б115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Свечи зажигания 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М8Т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П08 Г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 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СТ8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однодисковое, сухое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4-х </w:t>
            </w:r>
            <w:proofErr w:type="gramStart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</w:t>
            </w:r>
            <w:proofErr w:type="gramEnd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синхронизаторами на 1 и</w:t>
            </w:r>
            <w:r w:rsidR="001C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передачах 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км/ч.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л.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бензина</w:t>
            </w:r>
          </w:p>
        </w:tc>
        <w:tc>
          <w:tcPr>
            <w:tcW w:w="0" w:type="auto"/>
            <w:hideMark/>
          </w:tcPr>
          <w:p w:rsidR="009F6C1C" w:rsidRPr="009F6C1C" w:rsidRDefault="0049591B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А-66, А-72</w:t>
            </w:r>
          </w:p>
        </w:tc>
      </w:tr>
      <w:tr w:rsidR="009F6C1C" w:rsidRPr="009F6C1C" w:rsidTr="00A83DC8">
        <w:trPr>
          <w:jc w:val="center"/>
        </w:trPr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9F6C1C" w:rsidRPr="009F6C1C" w:rsidRDefault="009F6C1C" w:rsidP="00911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20/21 л. на 100 км.</w:t>
            </w:r>
          </w:p>
        </w:tc>
      </w:tr>
    </w:tbl>
    <w:p w:rsidR="009F6C1C" w:rsidRDefault="009F6C1C" w:rsidP="00911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CF3" w:rsidRDefault="00D6035E" w:rsidP="0091142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F3CF3" w:rsidSect="00C81C37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73"/>
    <w:rsid w:val="000261E9"/>
    <w:rsid w:val="000E5ABB"/>
    <w:rsid w:val="001C4A0F"/>
    <w:rsid w:val="00203238"/>
    <w:rsid w:val="00233896"/>
    <w:rsid w:val="002D6A7A"/>
    <w:rsid w:val="004115F6"/>
    <w:rsid w:val="004140AA"/>
    <w:rsid w:val="00421E77"/>
    <w:rsid w:val="00484AC4"/>
    <w:rsid w:val="0049591B"/>
    <w:rsid w:val="004B7873"/>
    <w:rsid w:val="0052150E"/>
    <w:rsid w:val="00543381"/>
    <w:rsid w:val="0058648B"/>
    <w:rsid w:val="005A7071"/>
    <w:rsid w:val="005C3326"/>
    <w:rsid w:val="00612E2D"/>
    <w:rsid w:val="006474A1"/>
    <w:rsid w:val="00696069"/>
    <w:rsid w:val="006B78B7"/>
    <w:rsid w:val="007F3CF3"/>
    <w:rsid w:val="00820020"/>
    <w:rsid w:val="00854EE4"/>
    <w:rsid w:val="0085791B"/>
    <w:rsid w:val="0089143F"/>
    <w:rsid w:val="008B0837"/>
    <w:rsid w:val="008B32DE"/>
    <w:rsid w:val="008D1CE0"/>
    <w:rsid w:val="008D33DA"/>
    <w:rsid w:val="00911426"/>
    <w:rsid w:val="00966C6E"/>
    <w:rsid w:val="009F6C1C"/>
    <w:rsid w:val="00A174A9"/>
    <w:rsid w:val="00A83DC8"/>
    <w:rsid w:val="00BD4D74"/>
    <w:rsid w:val="00C81C37"/>
    <w:rsid w:val="00D0270B"/>
    <w:rsid w:val="00D178B1"/>
    <w:rsid w:val="00D6035E"/>
    <w:rsid w:val="00F466F0"/>
    <w:rsid w:val="00F803E7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4140AA"/>
  </w:style>
  <w:style w:type="character" w:styleId="a3">
    <w:name w:val="Hyperlink"/>
    <w:basedOn w:val="a0"/>
    <w:uiPriority w:val="99"/>
    <w:semiHidden/>
    <w:unhideWhenUsed/>
    <w:rsid w:val="007F3C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F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4140AA"/>
  </w:style>
  <w:style w:type="character" w:styleId="a3">
    <w:name w:val="Hyperlink"/>
    <w:basedOn w:val="a0"/>
    <w:uiPriority w:val="99"/>
    <w:semiHidden/>
    <w:unhideWhenUsed/>
    <w:rsid w:val="007F3C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F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2018-11-10T14:33:00Z</dcterms:created>
  <dcterms:modified xsi:type="dcterms:W3CDTF">2020-10-22T08:13:00Z</dcterms:modified>
</cp:coreProperties>
</file>