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A9" w:rsidRDefault="00614C2E" w:rsidP="00E578D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0c0405f4bb4752549e54bba6e9493ebc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07-24</w:t>
      </w:r>
      <w:r w:rsidR="00F40054" w:rsidRPr="00F4005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9 </w:t>
      </w:r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ПБ-35 гусеничный фронтально-перекидной погрузчик для сыпучих материалов г</w:t>
      </w:r>
      <w:r w:rsidR="005E08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рузоподъемностью</w:t>
      </w:r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1.5 </w:t>
      </w:r>
      <w:proofErr w:type="spellStart"/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базе ДТ-54/54А, </w:t>
      </w:r>
      <w:r w:rsidR="005E08CA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ёмк</w:t>
      </w:r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ость</w:t>
      </w:r>
      <w:r w:rsidR="005E08CA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ковша 0.6 м3</w:t>
      </w:r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высота</w:t>
      </w:r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погр</w:t>
      </w:r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узки: передняя 1.</w:t>
      </w:r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м, задняя 2.</w:t>
      </w:r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м, </w:t>
      </w:r>
      <w:r w:rsidR="009959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</w:t>
      </w:r>
      <w:r w:rsidR="005E08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 </w:t>
      </w:r>
      <w:r w:rsidR="005E08CA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5E08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E08CA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бульдозер</w:t>
      </w:r>
      <w:r w:rsidR="005E08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5E08CA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конструктивный вес 5.5</w:t>
      </w:r>
      <w:r w:rsidR="009414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+</w:t>
      </w:r>
      <w:r w:rsidR="009414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1.8 </w:t>
      </w:r>
      <w:proofErr w:type="spellStart"/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0A3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Д-</w:t>
      </w:r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54/54А 54 </w:t>
      </w:r>
      <w:proofErr w:type="spellStart"/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7 км/час,</w:t>
      </w:r>
      <w:r w:rsidR="009371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производители не определены, </w:t>
      </w:r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371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1950</w:t>
      </w:r>
      <w:r w:rsidR="001E55DB" w:rsidRPr="001E5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bookmarkEnd w:id="0"/>
      <w:r w:rsidR="001E5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55DB" w:rsidRPr="007E43A9" w:rsidRDefault="00937161" w:rsidP="00E578D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DF8AE77" wp14:editId="5849F6AD">
            <wp:simplePos x="0" y="0"/>
            <wp:positionH relativeFrom="margin">
              <wp:posOffset>451485</wp:posOffset>
            </wp:positionH>
            <wp:positionV relativeFrom="margin">
              <wp:posOffset>1069340</wp:posOffset>
            </wp:positionV>
            <wp:extent cx="5504815" cy="3254375"/>
            <wp:effectExtent l="0" t="0" r="63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13" w:rsidRDefault="009A6313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Погрузчик-бульдозер ПБ-35</w:t>
      </w: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Погрузчики гусеничные с разгрузкой ковша назад - фронтально-перекидные - не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универсальными и используются</w:t>
      </w:r>
      <w:r w:rsidRPr="004E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погрузки </w:t>
      </w:r>
      <w:r w:rsidRPr="003848F7">
        <w:rPr>
          <w:rFonts w:ascii="Times New Roman" w:hAnsi="Times New Roman"/>
          <w:sz w:val="24"/>
          <w:szCs w:val="24"/>
        </w:rPr>
        <w:t xml:space="preserve">в транспортные средства </w:t>
      </w:r>
      <w:r w:rsidRPr="004E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нерудных сыпучих </w:t>
      </w:r>
      <w:r w:rsidRPr="003848F7">
        <w:rPr>
          <w:rFonts w:ascii="Times New Roman" w:hAnsi="Times New Roman"/>
          <w:sz w:val="24"/>
          <w:szCs w:val="24"/>
        </w:rPr>
        <w:t xml:space="preserve">и малосыпучих </w:t>
      </w:r>
      <w:r w:rsidRPr="004E2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иалов,</w:t>
      </w:r>
      <w:r w:rsidRPr="004F43B2">
        <w:rPr>
          <w:rFonts w:ascii="Times New Roman" w:hAnsi="Times New Roman"/>
          <w:sz w:val="24"/>
          <w:szCs w:val="24"/>
        </w:rPr>
        <w:t xml:space="preserve"> </w:t>
      </w:r>
      <w:r w:rsidRPr="003848F7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ических и минеральных удобрений</w:t>
      </w:r>
      <w:r w:rsidRPr="003848F7">
        <w:rPr>
          <w:rFonts w:ascii="Times New Roman" w:hAnsi="Times New Roman"/>
          <w:sz w:val="24"/>
          <w:szCs w:val="24"/>
        </w:rPr>
        <w:t>, а также для планировочных работ.</w:t>
      </w:r>
      <w:r w:rsidRPr="004E2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Различаются по типу привода рабочих органов погрузчика </w:t>
      </w:r>
      <w:proofErr w:type="gramStart"/>
      <w:r w:rsidRPr="004E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E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механические и гидравлические. На всех погрузчиках с гидравлическим приводом рабочих органов возможна замена оборудования погрузчика на бульдозерное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П</w:t>
      </w:r>
      <w:r w:rsidRPr="00150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огрузчик</w:t>
      </w:r>
      <w:r w:rsidRPr="003848F7">
        <w:rPr>
          <w:rFonts w:ascii="Times New Roman" w:hAnsi="Times New Roman"/>
          <w:sz w:val="24"/>
          <w:szCs w:val="24"/>
        </w:rPr>
        <w:t>-бульдозер</w:t>
      </w:r>
      <w:r w:rsidRPr="0015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ПБ-35 — высокопроизводительная машина, так как может загружать транспорт наиболее экономными способами: фронтальным и перекидным. При этом не тратится время на повороты.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251" w:rsidRDefault="00232251" w:rsidP="00E578D1">
      <w:pPr>
        <w:spacing w:line="240" w:lineRule="auto"/>
      </w:pPr>
      <w:r>
        <w:t xml:space="preserve"> </w:t>
      </w:r>
      <w:r w:rsidRPr="003848F7">
        <w:rPr>
          <w:rFonts w:ascii="Times New Roman" w:hAnsi="Times New Roman"/>
          <w:sz w:val="24"/>
          <w:szCs w:val="24"/>
        </w:rPr>
        <w:t xml:space="preserve">Оборудование погрузчика навешивают на тракторы класса тяги 30 кН и, в частности, на </w:t>
      </w:r>
      <w:r>
        <w:rPr>
          <w:rFonts w:ascii="Times New Roman" w:hAnsi="Times New Roman"/>
          <w:sz w:val="24"/>
          <w:szCs w:val="24"/>
        </w:rPr>
        <w:t xml:space="preserve">ДТ-54, Т-75 и </w:t>
      </w:r>
      <w:r w:rsidRPr="003848F7">
        <w:rPr>
          <w:rFonts w:ascii="Times New Roman" w:hAnsi="Times New Roman"/>
          <w:sz w:val="24"/>
          <w:szCs w:val="24"/>
        </w:rPr>
        <w:t xml:space="preserve">Т-74. Обслуживает машину одни человек. </w:t>
      </w:r>
    </w:p>
    <w:p w:rsidR="00232251" w:rsidRDefault="00232251" w:rsidP="00E578D1">
      <w:pPr>
        <w:pStyle w:val="a4"/>
        <w:spacing w:before="0" w:beforeAutospacing="0" w:after="0" w:afterAutospacing="0"/>
        <w:jc w:val="both"/>
      </w:pPr>
      <w:r>
        <w:rPr>
          <w:rFonts w:ascii="Verdana" w:hAnsi="Verdana"/>
          <w:noProof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65462621" wp14:editId="4F319B07">
            <wp:simplePos x="0" y="0"/>
            <wp:positionH relativeFrom="margin">
              <wp:posOffset>868680</wp:posOffset>
            </wp:positionH>
            <wp:positionV relativeFrom="margin">
              <wp:posOffset>6327140</wp:posOffset>
            </wp:positionV>
            <wp:extent cx="4429125" cy="2403475"/>
            <wp:effectExtent l="0" t="0" r="9525" b="0"/>
            <wp:wrapSquare wrapText="bothSides"/>
            <wp:docPr id="3" name="Рисунок 3" descr="http://hoztehnikka.ru/images/stories/pogryzchik-byldozer%20PB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ztehnikka.ru/images/stories/pogryzchik-byldozer%20PB-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  <w:jc w:val="both"/>
      </w:pPr>
    </w:p>
    <w:p w:rsidR="00232251" w:rsidRDefault="00232251" w:rsidP="00E578D1">
      <w:pPr>
        <w:pStyle w:val="a4"/>
        <w:spacing w:before="0" w:beforeAutospacing="0" w:after="0" w:afterAutospacing="0"/>
      </w:pPr>
      <w:r>
        <w:lastRenderedPageBreak/>
        <w:t xml:space="preserve"> </w:t>
      </w:r>
      <w:r w:rsidRPr="003848F7">
        <w:t xml:space="preserve">Погрузчик ПБ-35 состоит из поперечной балки 4, закрепленной на раме трактора </w:t>
      </w:r>
      <w:proofErr w:type="gramStart"/>
      <w:r w:rsidRPr="003848F7">
        <w:t>в</w:t>
      </w:r>
      <w:proofErr w:type="gramEnd"/>
      <w:r w:rsidRPr="003848F7">
        <w:t xml:space="preserve"> средней ее части; задней балки 7, смонтированной на опорах верхнего вала механизма навески трактора; двух боковин 6, которыми соединяются задняя и поперечная балки; стрелы подъема 2, шарнирно прикрепленной к боковинам 6. К передним концам стрелы подъема 2, которая состоит из двух продольных балок, шарнирно присоединен ковш 1. Для управления положением ковша на стреле предназначены два гидроцилиндра 3. Для подъема стрелы служат два </w:t>
      </w:r>
      <w:proofErr w:type="spellStart"/>
      <w:r w:rsidRPr="003848F7">
        <w:t>длинноштоковых</w:t>
      </w:r>
      <w:proofErr w:type="spellEnd"/>
      <w:r w:rsidRPr="003848F7">
        <w:t xml:space="preserve"> силовых гидроцилиндра 5. Силовые цилиндры приводятся в действие от гидросистемы трактора.</w:t>
      </w: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D15299E" wp14:editId="6FEA7693">
            <wp:simplePos x="0" y="0"/>
            <wp:positionH relativeFrom="margin">
              <wp:posOffset>641985</wp:posOffset>
            </wp:positionH>
            <wp:positionV relativeFrom="margin">
              <wp:posOffset>783590</wp:posOffset>
            </wp:positionV>
            <wp:extent cx="4648200" cy="3343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51" w:rsidRDefault="00E578D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51" w:rsidRPr="0076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Погрузчик ПБ-35 </w:t>
      </w:r>
      <w:r w:rsidR="00232251" w:rsidRPr="00506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производительностью 50 т/час</w:t>
      </w:r>
      <w:r w:rsidR="0023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51" w:rsidRPr="0076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конструкцию, допускающую переднюю и заднюю разгрузку ковша (вместимость 0,</w:t>
      </w:r>
      <w:r w:rsidR="00232251">
        <w:rPr>
          <w:rFonts w:ascii="Times New Roman" w:eastAsia="Times New Roman" w:hAnsi="Times New Roman" w:cs="Times New Roman"/>
          <w:sz w:val="24"/>
          <w:szCs w:val="24"/>
          <w:lang w:eastAsia="ru-RU"/>
        </w:rPr>
        <w:t>6 м3 , грузоподъемность 1,5 т).</w:t>
      </w:r>
      <w:r w:rsidR="00232251" w:rsidRPr="0076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Перемещение стрелы 2 производится двумя гидроцилиндрами, основания которых и головки штоков закреплены шарнирно. Поворот ковша относительно стрелы для разгрузки или зачерпывания груза осуществляется двумя другими гидроцилиндрами. Высота разгрузки без лотка: передняя 1,8, задняя 2,4 м.</w:t>
      </w:r>
    </w:p>
    <w:p w:rsidR="00232251" w:rsidRPr="00033099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33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погрузке материалов в низкие транспортные средства применяют фронтальный способ. Для погрузки в автомобили и прицепы рекомендуется использовать перекидной способ, при котором достигается максимальная производительность.</w:t>
      </w:r>
    </w:p>
    <w:p w:rsidR="00232251" w:rsidRPr="00033099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ковша </w:t>
      </w:r>
      <w:proofErr w:type="gramStart"/>
      <w:r w:rsidRPr="00033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3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3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proofErr w:type="gramEnd"/>
      <w:r w:rsidRPr="0003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устанавливать отвал бульдозера шириной захвата 2,5 м и высот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0,8 м для образования буртов</w:t>
      </w:r>
      <w:r w:rsidRPr="00033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выполнения планировочных работ при расчистке и подготовке площадок и других видов землеройных работ, связанных с перемещением грунта.</w:t>
      </w:r>
    </w:p>
    <w:p w:rsidR="00232251" w:rsidRDefault="00232251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последую</w:t>
      </w:r>
      <w:r w:rsidRPr="00033099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время промышленность выпускала</w:t>
      </w:r>
      <w:r w:rsidRPr="0003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погрузчик-бульдозер фронтально-перекидной ПФП-1,2 того же назначения, что и ПБ-35. Он навешивается на трактор ДТ-75 или ДТ-75М.</w:t>
      </w:r>
      <w:r w:rsidRPr="00736D2B">
        <w:rPr>
          <w:noProof/>
          <w:lang w:eastAsia="ru-RU"/>
        </w:rPr>
        <w:t xml:space="preserve"> </w:t>
      </w:r>
    </w:p>
    <w:p w:rsidR="00232251" w:rsidRDefault="00232251" w:rsidP="00E578D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E43A9" w:rsidRPr="007E43A9" w:rsidRDefault="007E43A9" w:rsidP="00E578D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E43A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Трактор ДТ-54 - история первого дизельного трактора</w:t>
      </w:r>
    </w:p>
    <w:p w:rsidR="007E43A9" w:rsidRPr="007E43A9" w:rsidRDefault="00F40054" w:rsidP="00E578D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Тридцать лет с конвейеров трех крупных тракторостроительных заводов, Сталинградского, Харьковского и Алтайского, сходил мощный гусеничный трактор общего назначения ДТ-54. Его использовали на культивации, пахоте, уборке и посеве сельскохозяйственных культур, для землеройных и планировочных работ.</w:t>
      </w:r>
    </w:p>
    <w:p w:rsidR="007E43A9" w:rsidRPr="007E43A9" w:rsidRDefault="0084650E" w:rsidP="00E578D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всем техническим характеристикам ДТ-54 превосходил своих предшественников. Его проходимость, тяговые качества, долговечность, стоимость и другие характеристики как нельзя лучше отвечали требованиям сельскохозяйственного производства 1950-1970-х годов.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5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Pr="007E43A9" w:rsidRDefault="00854EC8" w:rsidP="00E578D1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дизельный трактор</w:t>
      </w:r>
    </w:p>
    <w:p w:rsidR="007E43A9" w:rsidRPr="007E43A9" w:rsidRDefault="00854EC8" w:rsidP="00E578D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предшественника, трактора СТЗ-НАТИ, ДТ-54 отличала пятискоростная коробка передач, что улучшило использование мощности при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агрегатировании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прицепным оборудованием. Новый трактор расходовал на 30-40 % меньше горючего, которое было намного дешевле, чем керосин. Это позволяло в течение года экономить до 10 тонн топлива на одну машину. Удалось достичь унификации свыше 70 % деталей нового двигателя со старым, что давало экономию в организации производства.</w:t>
      </w:r>
      <w:r w:rsidR="00CE4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тракторе установили четырехцилиндровый четырехтактный дизель Д-54, с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вихрекамерным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смесеобразованием, водяного охлаждения. </w:t>
      </w:r>
      <w:r w:rsidR="00CE4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Пуск дизеля осуществлялся пуск</w:t>
      </w:r>
      <w:r w:rsid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овым двигателем ПД-10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Использовался двухпозиционный декомпрессор.</w:t>
      </w:r>
      <w:r w:rsidR="001E5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Значительно усовершенствована была ходовая часть трактора, применены торцовые металлические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самоподжимные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уплотнения. </w:t>
      </w:r>
      <w:r w:rsidR="001E5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Pr="007E43A9" w:rsidRDefault="001E55DB" w:rsidP="00E578D1">
      <w:pPr>
        <w:spacing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решению правительства Сталинградский и Харьковский тракторные заводы должны были в кратчайшие сроки перейти без остановки производства на массовый выпуск дизельного трактора ДТ-54.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1E55DB" w:rsidRDefault="00537255" w:rsidP="00E578D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октября 1949 года технологическая подготовка сре</w:t>
      </w:r>
      <w:proofErr w:type="gram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оизводства, необходимых для выпуска новой машины на СТЗ, завершилась. 7 ноября 1949 года через площадь Павших борцов Сталинграда под аплодисменты прошла колонна тракторов новой советской марки. 25 ноября годовой план выпуска трактора СТЗ-НАТИ завод завершил досрочно. На ленту конвейера уложили рамы новых, более совершенных машин. Переход завода на выпуск дизельного трактора был осуществлен без остановки производства. </w:t>
      </w:r>
      <w:r w:rsidR="001E5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Default="00157475" w:rsidP="00E578D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1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Примерно в это же время </w:t>
      </w:r>
      <w:r w:rsidR="00A72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СТЗ </w:t>
      </w:r>
      <w:r w:rsidR="00D71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1949 г. </w:t>
      </w:r>
      <w:r w:rsidRPr="00CE1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был развернут на Харьковском тракторном заводе. В Харькове серию машин производили до 1961 года. В список изготовителей данной версии вошел также Алтайский тракторный завод</w:t>
      </w:r>
      <w:r w:rsidR="00800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00E5" w:rsidRPr="00800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им. М. И. Калинина</w:t>
      </w:r>
      <w:r w:rsidRPr="00CE1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Здесь сельхозмашина выпускалась с 1952 по 1979 год.</w:t>
      </w:r>
    </w:p>
    <w:p w:rsidR="00157475" w:rsidRPr="00157475" w:rsidRDefault="00157475" w:rsidP="00E578D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3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ДТ-54</w:t>
      </w:r>
      <w:r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мощный гусеничный трактор класса 3 т общего назначения, выпускался с 1949 по 1957 г. Волгоградским, Харьковским и Алтайским тракторными заводами. Создание тракторов марки ДТ-54 было крупным шагом в отечественном тракторостроении. </w:t>
      </w:r>
      <w:r w:rsidR="00011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Pr="007E43A9" w:rsidRDefault="00A72523" w:rsidP="00E578D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475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 предназначен для использования на сельскохозяйственных работах и в других отраслях народного хозяйства страны (на пахоте, культивации, посеве и уборке сельскохозяйственных культур, при проведении землеройных, планировочных и других работ).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1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7E43A9" w:rsidRDefault="008D2D3F" w:rsidP="00E578D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Шаг за шагом коллектив завода модернизировал трактор ДТ-54. В 1952 году были внедрены такие конструкторские усовершенствования, как термообработка задней оси, декомпрессионный механизм улучшенного типа, новая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водопомпа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головка цилиндра с уменьшенным диаметром всасывающего клапана. Вес трактора уменьшился на 25 кг при экономии 40 кг проката.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1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1953 г.</w:t>
      </w:r>
      <w:r w:rsidR="007E43A9" w:rsidRPr="00881C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тракторе появилась закрытая </w:t>
      </w:r>
      <w:r w:rsidR="00F1655B" w:rsidRPr="00881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двухместная кабина.</w:t>
      </w:r>
      <w:r w:rsidR="00F1655B" w:rsidRPr="00F1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55B" w:rsidRPr="00F16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оснащена мягким креслом, стандартным набором средств управления и панелью приборов. Позже кабину оснастили системой отопления и бачком для питьевой воды. Объем бачка составлял 2,5 литра.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1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Появился новый з</w:t>
      </w:r>
      <w:r w:rsidR="00B770D8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адний мост </w:t>
      </w:r>
      <w:r w:rsidR="00E91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раздельным</w:t>
      </w:r>
      <w:r w:rsidR="00B770D8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управление</w:t>
      </w:r>
      <w:r w:rsidR="00E91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770D8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муфтами поворота и тормозами, что облегчает управление трактором, создает удобство регулировки муфт и тормозов, а также позволяет работать более продолжительное время без их регулировки. До 1956 г. раздельное управление не применялось.</w:t>
      </w:r>
      <w:r w:rsidR="00011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1952 года двигатель был оборудован счетчиком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моточасов</w:t>
      </w:r>
      <w:proofErr w:type="spellEnd"/>
      <w:r w:rsidR="00E66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66FA9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 показывает количество часов, проработанных двигателем и приведенных к 1300 об/мин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11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C1CB6" w:rsidRPr="00AC1CB6" w:rsidRDefault="00AC1CB6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трактора ДТ-54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830"/>
        <w:gridCol w:w="5308"/>
      </w:tblGrid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общего назначения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трактора (конструктивный),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..длина с прицепным устройством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..ширина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..высота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(расстояние между осями крайних опорных катков),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(расстояние между серединами гусениц),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 кгс/см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3,59 - 7,90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Д-54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Бескомпрессорный</w:t>
            </w:r>
            <w:proofErr w:type="spell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четырехтактный дизель с вихревыми камерами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 при 1300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/мин, </w:t>
            </w:r>
            <w:proofErr w:type="spell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двигателя (сухая, без радиатора),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C1CB6" w:rsidRPr="00AC1CB6" w:rsidTr="00E578D1">
        <w:trPr>
          <w:jc w:val="center"/>
        </w:trPr>
        <w:tc>
          <w:tcPr>
            <w:tcW w:w="0" w:type="auto"/>
            <w:hideMark/>
          </w:tcPr>
          <w:p w:rsidR="00AC1CB6" w:rsidRPr="00AC1CB6" w:rsidRDefault="00AC1CB6" w:rsidP="00E57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AC1CB6" w:rsidRPr="00AC1CB6" w:rsidRDefault="00AC1CB6" w:rsidP="00E57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пусковой двигатель ПД-10М</w:t>
            </w:r>
          </w:p>
        </w:tc>
      </w:tr>
    </w:tbl>
    <w:p w:rsidR="00AC1CB6" w:rsidRDefault="00AC1CB6" w:rsidP="00E578D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712C" w:rsidRPr="00AE712C" w:rsidRDefault="0019327C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1957 году сельхозмашина подверглась процессу усовершенствования.</w:t>
      </w:r>
      <w:r w:rsid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гусеничный трактор класса 3 т выпускался с 1957 г. Харьковским, Волгоградским и Алтайским тракторными заводами взамен трактора ДТ-54.</w:t>
      </w:r>
      <w:r w:rsid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19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Трактор ДТ-54А в основе отличается от трактора ДТ-54 только наличием на нем раздельно-агрегатной гидравлической системы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навесными и прицепными </w:t>
      </w:r>
      <w:proofErr w:type="spellStart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гидрофицированными</w:t>
      </w:r>
      <w:proofErr w:type="spellEnd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сельскохозяйственными машинами, управляемыми трактористом.</w:t>
      </w:r>
      <w:r w:rsidR="0001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12C" w:rsidRPr="00AE712C" w:rsidRDefault="00AE712C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сельскохозяйственного производства, трактор ДТ-54А имеет широкое применение и в других отраслях народного хозяйства.</w:t>
      </w:r>
    </w:p>
    <w:p w:rsidR="00AE712C" w:rsidRPr="00AE712C" w:rsidRDefault="0019327C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тракторе установлен двигатель Д-54А, который отличается от двигателя Д-54 тем, что в нем применены поршни из алюминиевого сплава, угол опережения подачи топлива по мениску уменьшен до 15-19°.</w:t>
      </w:r>
      <w:r w:rsidR="00D7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трактора ДТ-54, на тракторе ДТ-54А установлен генератор переменного тока Г-46В, четыре фары и четыре розетки для включения фар на машинах и орудиях.</w:t>
      </w:r>
      <w:proofErr w:type="gramEnd"/>
      <w:r w:rsidR="006D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имеет звуковую сигнализацию в виде сирены, ус</w:t>
      </w:r>
      <w:r w:rsidR="00D77E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тановленной на выпускной трубе.</w:t>
      </w:r>
      <w:r w:rsidR="006D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узлы и механизмы трактора ДТ-54А не отличаются от узлов и механизмов трактора ДТ-54.</w:t>
      </w:r>
      <w:r w:rsidR="00D7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762" w:rsidRDefault="008431E0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5C1755" w:rsidRP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сло</w:t>
      </w:r>
      <w:r w:rsid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в СССР было выпущено 957</w:t>
      </w:r>
      <w:r w:rsidR="005C1755" w:rsidRP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>900 единиц данной техники.</w:t>
      </w:r>
      <w:r w:rsid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Высокие тяговые качества и проходимость, а также низкая стоимость обеспечили трактору ДТ-54 в 1950-1960-е годы наибольшую популярность в сельском хозяйстве.</w:t>
      </w:r>
      <w:r w:rsidR="00D77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848F7" w:rsidRDefault="003848F7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EF6" w:rsidRPr="008431E0" w:rsidRDefault="00D77EF6" w:rsidP="00E578D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31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Техническая характеристика трактора ДТ-54А-С1, С</w:t>
      </w:r>
      <w:proofErr w:type="gramStart"/>
      <w:r w:rsidRPr="008431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proofErr w:type="gramEnd"/>
      <w:r w:rsidRPr="008431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С3 и С4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0"/>
        <w:gridCol w:w="5308"/>
      </w:tblGrid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общего назначения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 трактора (конструктивный),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5540; 5290; 5170 и 5490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..длина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3600 - 4190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..ширина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1865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..высота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База (расстояние между осями крайних опорных катков),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1622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Колея (расстояние между серединами гусениц),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1435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Удельное давление на почву, кгс/см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0,46; 0,43; 0,42 и 0,46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..вперед (дополнительных передач)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(2)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3,59 - 7,90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2,43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Д-54А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Бескомпрессорный</w:t>
            </w:r>
            <w:proofErr w:type="spell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четырехтактный дизель с вихревыми камерами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Номинальная мощность при 1300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/мин, </w:t>
            </w:r>
            <w:proofErr w:type="spell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двигателя (сухая, без радиатора),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  <w:tr w:rsidR="00D77EF6" w:rsidRPr="008431E0" w:rsidTr="00CD6FB1">
        <w:tc>
          <w:tcPr>
            <w:tcW w:w="0" w:type="auto"/>
            <w:hideMark/>
          </w:tcPr>
          <w:p w:rsidR="00D77EF6" w:rsidRPr="008431E0" w:rsidRDefault="00D77EF6" w:rsidP="00E57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D77EF6" w:rsidRPr="008431E0" w:rsidRDefault="00D77EF6" w:rsidP="00E578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пусковой двигатель ПД-10М</w:t>
            </w:r>
          </w:p>
        </w:tc>
      </w:tr>
    </w:tbl>
    <w:p w:rsidR="00D77EF6" w:rsidRPr="007E43A9" w:rsidRDefault="00D77EF6" w:rsidP="00E578D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48F7" w:rsidRDefault="003848F7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F7" w:rsidRDefault="003848F7" w:rsidP="00E578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F7" w:rsidRDefault="003848F7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</w:pPr>
    </w:p>
    <w:p w:rsidR="001503FD" w:rsidRDefault="001503FD" w:rsidP="00E578D1">
      <w:pPr>
        <w:spacing w:line="240" w:lineRule="auto"/>
        <w:rPr>
          <w:vanish/>
        </w:rPr>
      </w:pPr>
    </w:p>
    <w:p w:rsidR="000E5ABB" w:rsidRPr="007E43A9" w:rsidRDefault="000E5ABB" w:rsidP="00E578D1">
      <w:pPr>
        <w:spacing w:line="240" w:lineRule="auto"/>
        <w:rPr>
          <w:color w:val="000000" w:themeColor="text1"/>
        </w:rPr>
      </w:pPr>
    </w:p>
    <w:sectPr w:rsidR="000E5ABB" w:rsidRPr="007E43A9" w:rsidSect="009A631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9"/>
    <w:rsid w:val="00010762"/>
    <w:rsid w:val="000110E2"/>
    <w:rsid w:val="00023020"/>
    <w:rsid w:val="00033099"/>
    <w:rsid w:val="00053920"/>
    <w:rsid w:val="000A27D0"/>
    <w:rsid w:val="000A3C5C"/>
    <w:rsid w:val="000E5ABB"/>
    <w:rsid w:val="000F088B"/>
    <w:rsid w:val="000F1BFF"/>
    <w:rsid w:val="001503FD"/>
    <w:rsid w:val="00157475"/>
    <w:rsid w:val="0019327C"/>
    <w:rsid w:val="001948C6"/>
    <w:rsid w:val="001E55DB"/>
    <w:rsid w:val="00222BD6"/>
    <w:rsid w:val="00232251"/>
    <w:rsid w:val="003848F7"/>
    <w:rsid w:val="0039698C"/>
    <w:rsid w:val="004412C8"/>
    <w:rsid w:val="00491BF9"/>
    <w:rsid w:val="004E2054"/>
    <w:rsid w:val="004F43B2"/>
    <w:rsid w:val="005062C7"/>
    <w:rsid w:val="0052150E"/>
    <w:rsid w:val="00537255"/>
    <w:rsid w:val="00561439"/>
    <w:rsid w:val="005C1755"/>
    <w:rsid w:val="005D6362"/>
    <w:rsid w:val="005E08CA"/>
    <w:rsid w:val="00614C2E"/>
    <w:rsid w:val="00680211"/>
    <w:rsid w:val="006C4EBE"/>
    <w:rsid w:val="006D20AC"/>
    <w:rsid w:val="006E6672"/>
    <w:rsid w:val="006F5813"/>
    <w:rsid w:val="00710BEB"/>
    <w:rsid w:val="00736D2B"/>
    <w:rsid w:val="00763036"/>
    <w:rsid w:val="007E43A9"/>
    <w:rsid w:val="007F3501"/>
    <w:rsid w:val="008000E5"/>
    <w:rsid w:val="008431E0"/>
    <w:rsid w:val="0084650E"/>
    <w:rsid w:val="00854EC8"/>
    <w:rsid w:val="00881CF4"/>
    <w:rsid w:val="008B45A0"/>
    <w:rsid w:val="008D2D3F"/>
    <w:rsid w:val="009220E2"/>
    <w:rsid w:val="00937161"/>
    <w:rsid w:val="009414A0"/>
    <w:rsid w:val="00995916"/>
    <w:rsid w:val="009A6313"/>
    <w:rsid w:val="009C1843"/>
    <w:rsid w:val="00A65317"/>
    <w:rsid w:val="00A72523"/>
    <w:rsid w:val="00AC1CB6"/>
    <w:rsid w:val="00AE712C"/>
    <w:rsid w:val="00B770D8"/>
    <w:rsid w:val="00CE12AE"/>
    <w:rsid w:val="00CE42FB"/>
    <w:rsid w:val="00D71300"/>
    <w:rsid w:val="00D77EF6"/>
    <w:rsid w:val="00E578D1"/>
    <w:rsid w:val="00E66FA9"/>
    <w:rsid w:val="00E71085"/>
    <w:rsid w:val="00E918DE"/>
    <w:rsid w:val="00F1655B"/>
    <w:rsid w:val="00F40054"/>
    <w:rsid w:val="00FD3AA2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3A9"/>
    <w:rPr>
      <w:color w:val="0000FF"/>
      <w:u w:val="single"/>
    </w:rPr>
  </w:style>
  <w:style w:type="paragraph" w:customStyle="1" w:styleId="name">
    <w:name w:val="name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7E43A9"/>
  </w:style>
  <w:style w:type="paragraph" w:customStyle="1" w:styleId="text">
    <w:name w:val="text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3A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431E0"/>
    <w:rPr>
      <w:i/>
      <w:iCs/>
    </w:rPr>
  </w:style>
  <w:style w:type="character" w:styleId="a8">
    <w:name w:val="Strong"/>
    <w:basedOn w:val="a0"/>
    <w:uiPriority w:val="22"/>
    <w:qFormat/>
    <w:rsid w:val="008431E0"/>
    <w:rPr>
      <w:b/>
      <w:bCs/>
    </w:rPr>
  </w:style>
  <w:style w:type="table" w:styleId="a9">
    <w:name w:val="Table Grid"/>
    <w:basedOn w:val="a1"/>
    <w:uiPriority w:val="59"/>
    <w:rsid w:val="00843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gcaption">
    <w:name w:val="img_caption"/>
    <w:basedOn w:val="a"/>
    <w:rsid w:val="0038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3A9"/>
    <w:rPr>
      <w:color w:val="0000FF"/>
      <w:u w:val="single"/>
    </w:rPr>
  </w:style>
  <w:style w:type="paragraph" w:customStyle="1" w:styleId="name">
    <w:name w:val="name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7E43A9"/>
  </w:style>
  <w:style w:type="paragraph" w:customStyle="1" w:styleId="text">
    <w:name w:val="text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3A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431E0"/>
    <w:rPr>
      <w:i/>
      <w:iCs/>
    </w:rPr>
  </w:style>
  <w:style w:type="character" w:styleId="a8">
    <w:name w:val="Strong"/>
    <w:basedOn w:val="a0"/>
    <w:uiPriority w:val="22"/>
    <w:qFormat/>
    <w:rsid w:val="008431E0"/>
    <w:rPr>
      <w:b/>
      <w:bCs/>
    </w:rPr>
  </w:style>
  <w:style w:type="table" w:styleId="a9">
    <w:name w:val="Table Grid"/>
    <w:basedOn w:val="a1"/>
    <w:uiPriority w:val="59"/>
    <w:rsid w:val="00843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gcaption">
    <w:name w:val="img_caption"/>
    <w:basedOn w:val="a"/>
    <w:rsid w:val="0038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91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588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2019-10-01T10:58:00Z</dcterms:created>
  <dcterms:modified xsi:type="dcterms:W3CDTF">2022-08-02T09:34:00Z</dcterms:modified>
</cp:coreProperties>
</file>