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EE" w:rsidRPr="00EA2868" w:rsidRDefault="00EA2868" w:rsidP="00EA286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0c0405f4bb4752549e54bba6e9493ebc"/>
      <w:r w:rsidRPr="00EA286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08-051 </w:t>
      </w:r>
      <w:r w:rsidRPr="00EA28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МТЗ-50 "Беларусь" 4х2 универсально-пропашной колёсный трактор общего назначения, тяговый класс 1.4, мест 1, полный вес 3.6 </w:t>
      </w:r>
      <w:proofErr w:type="spellStart"/>
      <w:r w:rsidRPr="00EA28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EA28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Д-50 55 </w:t>
      </w:r>
      <w:proofErr w:type="spellStart"/>
      <w:r w:rsidRPr="00EA28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EA28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24.3/5.6 км/час, </w:t>
      </w:r>
      <w:r w:rsidR="004271F3" w:rsidRPr="004271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1256800</w:t>
      </w:r>
      <w:r w:rsidR="00A32C42" w:rsidRPr="00A32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экз.,</w:t>
      </w:r>
      <w:r w:rsidR="00A32C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A28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 Минск 1962-85 г.</w:t>
      </w:r>
    </w:p>
    <w:p w:rsidR="001F01EE" w:rsidRDefault="00EA2868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2868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18C42FF" wp14:editId="0CF304DC">
            <wp:simplePos x="0" y="0"/>
            <wp:positionH relativeFrom="margin">
              <wp:posOffset>481965</wp:posOffset>
            </wp:positionH>
            <wp:positionV relativeFrom="margin">
              <wp:posOffset>674370</wp:posOffset>
            </wp:positionV>
            <wp:extent cx="5314950" cy="4144645"/>
            <wp:effectExtent l="0" t="0" r="0" b="8255"/>
            <wp:wrapSquare wrapText="bothSides"/>
            <wp:docPr id="10" name="Рисунок 10" descr="http://carakoom.com/data/blogs/787/30099/image/3716508877_larg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rakoom.com/data/blogs/787/30099/image/3716508877_larg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01EE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30EC" w:rsidRPr="00D430EC" w:rsidRDefault="00D430EC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"http://carakoom.com/u/787" </w:instrText>
      </w: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</w:p>
    <w:p w:rsidR="001F01EE" w:rsidRPr="00D430EC" w:rsidRDefault="00D430EC" w:rsidP="001F01E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Сергей Бездорожный</w:t>
      </w:r>
      <w:r w:rsidR="001F0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01EE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28 января 2017 </w:t>
      </w:r>
      <w:r w:rsidR="001F0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430EC" w:rsidRPr="00D430EC" w:rsidRDefault="00D430EC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bookmarkEnd w:id="0"/>
    </w:p>
    <w:p w:rsidR="00D430EC" w:rsidRPr="00D430EC" w:rsidRDefault="00D430EC" w:rsidP="001F01E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D430E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Универсально-пропашной трактор МТЗ-50</w:t>
      </w:r>
    </w:p>
    <w:p w:rsidR="00D430EC" w:rsidRPr="00D430EC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Детище Минского тракторного завода, МТЗ-50, - одна из самых удачных и самых распространенных конструкций трактора в СССР. Эту модель и ее модификации выпускали с 1962 по 1985 год - более 20 лет!</w:t>
      </w:r>
    </w:p>
    <w:p w:rsidR="00D430EC" w:rsidRPr="00D430EC" w:rsidRDefault="001F01EE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Колесный трактор общего назначения потому и носил такое имя, и был так востребован, что его можно было применять для пахоты легких и средних почв, предпосевной обработки, посева и уборки зерновых культур, обработки пропашных культур и транспортных работ. Компоновка машины была традиционной для всего семейства МТЗ: переднее расположение двигателя, 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полурамная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конструкция с несущими картерами узлов трансмиссии, передние колеса - направляющие, уменьшенного диаметра, задние - ведущие, увеличенного диаметра.</w:t>
      </w:r>
    </w:p>
    <w:p w:rsidR="00D430EC" w:rsidRPr="00D430EC" w:rsidRDefault="00DA0880" w:rsidP="00D430E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История создания МТЗ-50</w:t>
      </w:r>
    </w:p>
    <w:p w:rsidR="00D430EC" w:rsidRPr="00D430EC" w:rsidRDefault="00DA0880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самого начала выпуска своего фирменного универсально-пропашного трактора - МТЗ - конструкторы Минского тракторного завода постоянно занимались его улучшением. В 1950-е годы один за другим выходили в свет модернизированные варианты: МТЗ-5 и МТЗ-7. Однако параллельно шла работа над новой базовой моделью «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Беларуса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D430EC" w:rsidRPr="00D430EC" w:rsidRDefault="00DA0880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Отдел главного конструктора Минского тракторного завода совместно с Научным автотракторным институтом разработали техническое задание на проектирование нового пропашного трактора - МТЗ-50. 6 апреля 1956 года техническое задание рассмотрели и апробировали техническое управление Министерства тракторного и сельскохозяйственного машиностроения СССР и Главное управление тракторной промышленности </w:t>
      </w:r>
      <w:r w:rsidR="00EA2868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(Главтракторопром).</w:t>
      </w:r>
    </w:p>
    <w:p w:rsidR="00D430EC" w:rsidRPr="00D430EC" w:rsidRDefault="00DA0880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Технический проект трактора был завершен в 1957 году и одобрен в головном Научном автотракторном институте. Через год экспериментальный цех Отдела главного конструктора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выпустил несколько опытных образцов трактора под маркой МТЗ-50. Испытания проходили на государственных машиностроительных станциях, в колхозе имени Кирова Воронежской области и в колхозе имени XX съезда КПСС (УССР). По результатам испытаний научно-технический совет </w:t>
      </w:r>
      <w:proofErr w:type="gram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</w:t>
      </w:r>
      <w:proofErr w:type="gram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«Сельхозтехника» рекомендовал колесный универсально-пропашной трактор класса 1,4 «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Беларус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МТЗ-50 к серийному производству.</w:t>
      </w:r>
    </w:p>
    <w:p w:rsidR="00D430EC" w:rsidRPr="00D430EC" w:rsidRDefault="00846105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базе трактора МТЗ-50 коллективом конструкторов завода была разработана модификация высокой проходимости с четырьмя ведущими колесами - МТЗ-52. Эта машина дополнила базовую модель, расширила область ее применения на сельскохозяйственных и транспортных работах, особенно в условиях повышенной влажности почвы. </w:t>
      </w:r>
    </w:p>
    <w:p w:rsidR="00D430EC" w:rsidRPr="00D430EC" w:rsidRDefault="00D430EC" w:rsidP="00D430E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430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Успех на международных выставках</w:t>
      </w:r>
    </w:p>
    <w:p w:rsidR="00D430EC" w:rsidRPr="00D430EC" w:rsidRDefault="00846105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Новая машина приобрела высокую конкурентоспособность на мировом рынке. На международных выставках и ярмарках в 1965-1969 годах трактору МТЗ-50 и его модификациям присудили пять золотых и несколько медалей другого достоинства, а также дипломы. Пакистан и Мексика организовали у себя производство трактора МЗ-50. Тракторы «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Беларус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МТЗ-50 и МТЗ-52 экспортировались более чем в 70 стран мира: </w:t>
      </w:r>
      <w:proofErr w:type="gram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Вьетнам, Германию, Венгрию, Югославию, Пакистан, Францию, Финляндию, Италию, Бельгию, Судан, Грецию, Алжир, Англию, США, Канаду, Данию, Австралию, Норвегию, Швецию и др.</w:t>
      </w:r>
      <w:proofErr w:type="gramEnd"/>
    </w:p>
    <w:p w:rsidR="00D430EC" w:rsidRPr="00D430EC" w:rsidRDefault="00846105" w:rsidP="0084610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Преимущества новой модели</w:t>
      </w:r>
    </w:p>
    <w:p w:rsidR="00D430EC" w:rsidRPr="00D430EC" w:rsidRDefault="00D430EC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Трактор МТЗ-50 оснастили дизельным двигателем мощностью 55 л. с., вес машины снизился по сравнению с МТЗ-5МЛ более чем на 400 кг. В трансмиссии трактора была использована 9-скоростная коробка передач, 4-ходовая, с прямой передачей и редуктором. Диапазон скоростей от 1,65 до 25 км/ч дал возможность более эффективно использовать мощность двигателя. Трактор оборудовали раздельно-агрегатной гидравлической навесной системой, гидравлическим </w:t>
      </w:r>
      <w:proofErr w:type="spellStart"/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догружателем</w:t>
      </w:r>
      <w:proofErr w:type="spellEnd"/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ведущих колес, с помощью которого часть массы навесных машин может передаваться на задние колеса, чем снижается буксование при выполнении энергоемких работ; гидроусилителем руля; </w:t>
      </w:r>
      <w:proofErr w:type="spellStart"/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гидрофицированным</w:t>
      </w:r>
      <w:proofErr w:type="spellEnd"/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крюком.</w:t>
      </w:r>
    </w:p>
    <w:p w:rsidR="00D430EC" w:rsidRPr="00D430EC" w:rsidRDefault="00846105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агрегатирования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трактора с широким комплексом сельскохозяйственных машин и транспортными прицепами с активной осью он оснащен задним, передним и боковым валами отбора мощности. Задний и передний валы имеют независимый привод. Кроме этого, задний вал снабжен синхронным приводом, что дает возможность работать с полуприцепами, имеющими активный ведущий мост. Трактор оборудован съемной кабиной.</w:t>
      </w:r>
    </w:p>
    <w:p w:rsidR="00D430EC" w:rsidRPr="00D430EC" w:rsidRDefault="00846105" w:rsidP="0084610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Запу</w:t>
      </w:r>
      <w:proofErr w:type="gramStart"/>
      <w:r w:rsidR="00D430EC" w:rsidRPr="00D430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ск в пр</w:t>
      </w:r>
      <w:proofErr w:type="gramEnd"/>
      <w:r w:rsidR="00D430EC" w:rsidRPr="00D430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оизводство</w:t>
      </w:r>
    </w:p>
    <w:p w:rsidR="00D430EC" w:rsidRPr="00D430EC" w:rsidRDefault="00846105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Минскому тракторному заводу удалось перейти к выпуску тракторов «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Беларус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МТЗ-50 без остановки производства. Это верный показатель слаженной работы. Перестройка производства, переход на новую продукцию в условиях предприятия, где ежегодно выпускаются десятки тысяч машин, - дело необычайной сложности. Впервые в отрасли был разработан и внедрен гидроусилитель рулевого управления.</w:t>
      </w:r>
    </w:p>
    <w:p w:rsidR="00D430EC" w:rsidRPr="00D430EC" w:rsidRDefault="005717C9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Конструкторское бюро (КБ) гидравлических систем возглавлял П. Я. 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Прицкер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кандидат технических наук, первый заместитель главного конструктора Минского тракторного завода, лауреат Государственной премии. КБ 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агрегатирования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которое возглавлял инженер-конструктор Б. Б. Хина, проводило технико-экономический анализ и расчеты по эффективности каждого агрегата. Совместно </w:t>
      </w:r>
      <w:proofErr w:type="gram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Всесоюзным институтом сельскохозяйственного машиностроения (ВИСХМ) и Научным автотракторным институтом (НАТИ) разрабатывались специальные методики расчетов, которые можно было в перспективе применить для ЭВМ.</w:t>
      </w:r>
    </w:p>
    <w:p w:rsidR="00D430EC" w:rsidRPr="00D430EC" w:rsidRDefault="005717C9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КБ электрооборудования и приборов возглавлял прибывший с авиационного завода опытный инженер Л. Я. 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Трембовольский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Специализированные инженерные расчеты выполняли инженеры Н. 3. Семенов, И. Н. 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Ружанская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И. Л. 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Пескина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Б. </w:t>
      </w:r>
      <w:proofErr w:type="spell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Довгаль</w:t>
      </w:r>
      <w:proofErr w:type="spell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В.Я. Рубенчики др. Огромная подготовительная работа, проведенная на заводе, смелые организационные и технические решения, невзирая на некоторые недоработки, дали возможность быстро увеличивать темп производства тракторов сразу после перехода на новую модель и восполнить неизбежные потери.</w:t>
      </w:r>
    </w:p>
    <w:p w:rsidR="00D430EC" w:rsidRPr="00D430EC" w:rsidRDefault="005717C9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это происходило, свидетельствует среднесуточный выпуск машин по месяцам 1962 года: январь - 40 штук, февраль - 103, март -137, апрель и май - по 151, декабрь - 191. Для сравнения: когда американская автомобильная компания «Дженерал </w:t>
      </w:r>
      <w:proofErr w:type="gram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Моторе</w:t>
      </w:r>
      <w:proofErr w:type="gram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при переходе на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изготовление новой модели автомобиля остановила производство на полтора месяца, она потеряла 420% месячного выпуска машин.</w:t>
      </w:r>
    </w:p>
    <w:p w:rsidR="00D430EC" w:rsidRPr="00D430EC" w:rsidRDefault="00D430EC" w:rsidP="00D430EC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430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Семейство МТЗ-50</w:t>
      </w:r>
    </w:p>
    <w:p w:rsidR="00D430EC" w:rsidRPr="00D430EC" w:rsidRDefault="005717C9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основе МТЗ-50 создано семейство унифицированных модификаций различного назначения: </w:t>
      </w:r>
      <w:proofErr w:type="gramStart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хлопководческая</w:t>
      </w:r>
      <w:proofErr w:type="gramEnd"/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(МТЗ-50Х), крутосклонная, полугусеничная, гусеничные - виноградниковая (Т-54В), лесохозяйственная (Т-54Л) и свекловодческая (Т-54С).</w:t>
      </w:r>
    </w:p>
    <w:p w:rsidR="00D430EC" w:rsidRPr="00D430EC" w:rsidRDefault="00D430EC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1960 году на заводе прорабатывали конструкцию МТЗ-50 на полугусеничном ходу. Трактор был дополнен резинометаллическими гусеницами. Эффективность полугусеничного хода была подтверждена испытаниями, проведенными в различных регионах страны. Полугусеничный ход поручили изготавливать филиалу МТЗ - </w:t>
      </w:r>
      <w:proofErr w:type="spellStart"/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Бобруйскому</w:t>
      </w:r>
      <w:proofErr w:type="spellEnd"/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заводу тракторных двигателей и агрегатов.</w:t>
      </w:r>
    </w:p>
    <w:p w:rsidR="00D430EC" w:rsidRPr="00D430EC" w:rsidRDefault="005717C9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Трактор МТЗ-50Х предназначался для возделывания и уборки хлопчатника в четырехрядной системе машин с междурядьями 90 см. Он принципиально отличался от МТЗ-50 конструкцией передней оси (имел одно ведущее колесо). Был также изменен узел конечных передач с дополнительными редукторами. Начатое в 1969 году серийное производство трактора МТЗ-50Х продолжалось до 1977 года, а затем было передано Ташкентскому тракторному заводу.</w:t>
      </w:r>
    </w:p>
    <w:p w:rsidR="00D430EC" w:rsidRPr="00D430EC" w:rsidRDefault="005717C9" w:rsidP="005717C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Гусеничные варианты</w:t>
      </w:r>
    </w:p>
    <w:p w:rsidR="00D430EC" w:rsidRPr="00D430EC" w:rsidRDefault="00D430EC" w:rsidP="00D430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базе трактора МТЗ-50 были созданы три гусеничные модификации, причем узловая унификация с трактором МТЗ-50 составляла более 62 %. В 1967 году был запущен в производство базовый вариант трактора Т-54В в двух модификациях: Т-54В-С1, с шириной колеи 950 мм, для возделывания виноградников с междурядьями 1,8 м и более, и Т-54В-С2, с шириной колеи 850 мм, для возделывания виноградников с междурядьями 1,5 м.</w:t>
      </w:r>
    </w:p>
    <w:p w:rsidR="00D430EC" w:rsidRDefault="005717C9" w:rsidP="008B7CA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30EC" w:rsidRPr="00D4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1968 году началось производство трактора Т-54Л для лесохозяйственных работ. Он был оборудован защитными устройствами, ограждающими кабину, радиатор, картер двигателя и трансмиссию от повреждений при работе в лесу. Трактор Т-54С (свекловодческая модель) увидел свет в 1971-1972 годах. Все три гусеничные модели выпускал Кишиневский тракторный завод.</w:t>
      </w:r>
    </w:p>
    <w:p w:rsidR="00663D4C" w:rsidRDefault="00663D4C" w:rsidP="008B7CA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3D4C" w:rsidRPr="008B7CA7" w:rsidRDefault="00663D4C" w:rsidP="008B7CA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6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Минский тракторный завод становится центром и фактически отраслевым КБ по разработке колесных тракторов. Богатый научно-кадровый потенциал вкупе с </w:t>
      </w:r>
      <w:proofErr w:type="gramStart"/>
      <w:r w:rsidRPr="0066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широкомасштабными</w:t>
      </w:r>
      <w:proofErr w:type="gramEnd"/>
      <w:r w:rsidRPr="0066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НИОКР позволил сократить цикл разработки новых тракторов до двух лет, и этот показатель удерживается до сих пор. В 1965 г. выпущены опытные скоростные тракторы МТЗ-60 (4x2) и МТЗ-62 (4x4) с дизелем Д-60 и кабиной с панорамным </w:t>
      </w:r>
      <w:proofErr w:type="spellStart"/>
      <w:r w:rsidRPr="0066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трехсекционным</w:t>
      </w:r>
      <w:proofErr w:type="spellEnd"/>
      <w:r w:rsidRPr="0066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остеклением, которое применяли также на опытных моделях МТЗ-50 и МТЗ-52. Спустя четыре года серию "полтинников" подвергли </w:t>
      </w:r>
      <w:proofErr w:type="spellStart"/>
      <w:r w:rsidRPr="0066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рестайлингу</w:t>
      </w:r>
      <w:proofErr w:type="spellEnd"/>
      <w:r w:rsidRPr="0066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модельный ряд стал выглядеть так: базовый МТЗ-5ОА, трехколесный МТЗ-50Х1, крутосклонный МТЗ-50АК, </w:t>
      </w:r>
      <w:proofErr w:type="spellStart"/>
      <w:r w:rsidRPr="0066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полноприводный</w:t>
      </w:r>
      <w:proofErr w:type="spellEnd"/>
      <w:r w:rsidRPr="0066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МТЗ-52А, крутосклонный МТЗ-52АК, </w:t>
      </w:r>
      <w:proofErr w:type="spellStart"/>
      <w:r w:rsidRPr="0066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низкоклиренсный</w:t>
      </w:r>
      <w:proofErr w:type="spellEnd"/>
      <w:r w:rsidRPr="0066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МТЗ-52АН. </w:t>
      </w:r>
      <w:proofErr w:type="gramStart"/>
      <w:r w:rsidRPr="00663D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Завод выпускал и специализированные версии: хлопковый МТЗ-50Х2 и МТЗ-50У со сближенными, как у МТЗ-1, передними колесами, портальный МТЗ-5ОК, полугусеничные МТЗ-50АПГ и МТЗ-50ПГХ.</w:t>
      </w:r>
      <w:bookmarkStart w:id="1" w:name="_GoBack"/>
      <w:bookmarkEnd w:id="1"/>
      <w:proofErr w:type="gramEnd"/>
    </w:p>
    <w:p w:rsidR="008B7CA7" w:rsidRPr="008B7CA7" w:rsidRDefault="008B7CA7" w:rsidP="008B7CA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7CA7" w:rsidRPr="008B7CA7" w:rsidRDefault="008B7CA7" w:rsidP="008B7CA7">
      <w:pPr>
        <w:pStyle w:val="2"/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8B7CA7">
        <w:rPr>
          <w:rStyle w:val="mw-headline"/>
          <w:color w:val="000000" w:themeColor="text1"/>
          <w:sz w:val="24"/>
          <w:szCs w:val="24"/>
        </w:rPr>
        <w:t>Модификации</w:t>
      </w:r>
    </w:p>
    <w:p w:rsidR="008B7CA7" w:rsidRPr="008B7CA7" w:rsidRDefault="008B7CA7" w:rsidP="008B7CA7">
      <w:pPr>
        <w:pStyle w:val="a4"/>
        <w:spacing w:before="0" w:beforeAutospacing="0" w:after="0" w:afterAutospacing="0"/>
        <w:rPr>
          <w:color w:val="000000" w:themeColor="text1"/>
        </w:rPr>
      </w:pPr>
      <w:r w:rsidRPr="008B7CA7">
        <w:rPr>
          <w:color w:val="000000" w:themeColor="text1"/>
        </w:rPr>
        <w:t xml:space="preserve">За годы выпуска, конструкция трактора неоднократно модернизировалась. Для нужд народного хозяйства выпускались специальные модификации: </w:t>
      </w:r>
    </w:p>
    <w:p w:rsidR="000B486F" w:rsidRDefault="008B7CA7" w:rsidP="000B486F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МТЗ-60 и МТЗ-62 — с двигателем СМД-12, мощностью 65 л. </w:t>
      </w:r>
      <w:proofErr w:type="gramStart"/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. — (выпускалась в основном на экспорт)</w:t>
      </w:r>
    </w:p>
    <w:p w:rsidR="008B7CA7" w:rsidRPr="000B486F" w:rsidRDefault="008B7CA7" w:rsidP="000B486F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4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МТЗ-50Х — </w:t>
      </w:r>
      <w:proofErr w:type="spellStart"/>
      <w:r w:rsidRPr="000B486F">
        <w:rPr>
          <w:rFonts w:ascii="Times New Roman" w:hAnsi="Times New Roman" w:cs="Times New Roman"/>
          <w:color w:val="000000" w:themeColor="text1"/>
          <w:sz w:val="24"/>
          <w:szCs w:val="24"/>
        </w:rPr>
        <w:t>высококлиренсная</w:t>
      </w:r>
      <w:proofErr w:type="spellEnd"/>
      <w:r w:rsidRPr="000B4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B486F">
        <w:rPr>
          <w:rFonts w:ascii="Times New Roman" w:hAnsi="Times New Roman" w:cs="Times New Roman"/>
          <w:color w:val="000000" w:themeColor="text1"/>
          <w:sz w:val="24"/>
          <w:szCs w:val="24"/>
        </w:rPr>
        <w:t>хлопководческая</w:t>
      </w:r>
      <w:proofErr w:type="gramEnd"/>
      <w:r w:rsidRPr="000B4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</w:t>
      </w:r>
      <w:r w:rsidR="00AA00E5" w:rsidRPr="000B4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уменьшенным расстоянием между задними колесами и </w:t>
      </w:r>
      <w:r w:rsidRPr="000B48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передним колесом или двумя сближенными колёсами (выпускалась совместно с </w:t>
      </w:r>
      <w:hyperlink r:id="rId8" w:tooltip="Ташкентский тракторный завод" w:history="1">
        <w:r w:rsidRPr="000B486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Ташкентским тракторным заводом</w:t>
        </w:r>
      </w:hyperlink>
      <w:r w:rsidRPr="000B486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B7CA7" w:rsidRPr="008B7CA7" w:rsidRDefault="008B7CA7" w:rsidP="008B7CA7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МТЗ-50К (Т-50К) — </w:t>
      </w:r>
      <w:proofErr w:type="gramStart"/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крутосклонная</w:t>
      </w:r>
      <w:proofErr w:type="gramEnd"/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колёсная, выпускалась в </w:t>
      </w:r>
      <w:hyperlink r:id="rId9" w:tooltip="Тбилиси" w:history="1">
        <w:r w:rsidRPr="008B7CA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Тбилиси</w:t>
        </w:r>
      </w:hyperlink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7CA7" w:rsidRPr="008B7CA7" w:rsidRDefault="008B7CA7" w:rsidP="008B7CA7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Т-50В и Т-54В — </w:t>
      </w:r>
      <w:proofErr w:type="gramStart"/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гусеничная</w:t>
      </w:r>
      <w:proofErr w:type="gramEnd"/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, для работы в виноградниках.</w:t>
      </w:r>
    </w:p>
    <w:p w:rsidR="008B7CA7" w:rsidRPr="008B7CA7" w:rsidRDefault="008B7CA7" w:rsidP="008B7CA7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МТЗ-50Р — </w:t>
      </w:r>
      <w:proofErr w:type="gramStart"/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полугусеничная</w:t>
      </w:r>
      <w:proofErr w:type="gramEnd"/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, для работы на рисовых чеках.</w:t>
      </w:r>
    </w:p>
    <w:p w:rsidR="008B7CA7" w:rsidRPr="008B7CA7" w:rsidRDefault="008B7CA7" w:rsidP="008B7CA7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МТЗ-52Н — </w:t>
      </w:r>
      <w:proofErr w:type="spellStart"/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низкоклиренсная</w:t>
      </w:r>
      <w:proofErr w:type="spellEnd"/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(задние колёса уменьшенного размера, балочный передний мост </w:t>
      </w:r>
      <w:proofErr w:type="gramStart"/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вместо</w:t>
      </w:r>
      <w:proofErr w:type="gramEnd"/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портального).</w:t>
      </w:r>
    </w:p>
    <w:p w:rsidR="008B7CA7" w:rsidRDefault="008B7CA7" w:rsidP="008B7CA7">
      <w:pPr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МТЗ-50Л — отличался от МТЗ-50 пусковым устройством двигателя.</w:t>
      </w:r>
    </w:p>
    <w:p w:rsidR="008B7CA7" w:rsidRPr="008B7CA7" w:rsidRDefault="008B7CA7" w:rsidP="008B7CA7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CA7" w:rsidRPr="008B7CA7" w:rsidRDefault="008B7CA7" w:rsidP="008B7CA7">
      <w:pPr>
        <w:pStyle w:val="a4"/>
        <w:spacing w:before="0" w:beforeAutospacing="0" w:after="0" w:afterAutospacing="0"/>
        <w:rPr>
          <w:color w:val="000000" w:themeColor="text1"/>
        </w:rPr>
      </w:pPr>
      <w:r w:rsidRPr="008B7CA7">
        <w:rPr>
          <w:color w:val="000000" w:themeColor="text1"/>
        </w:rPr>
        <w:t xml:space="preserve">За годы выпуска менялся внешний вид и конструкция кабины, хотя индексация оставалась без изменений: </w:t>
      </w:r>
    </w:p>
    <w:p w:rsidR="008B7CA7" w:rsidRPr="008B7CA7" w:rsidRDefault="008B7CA7" w:rsidP="008B7CA7">
      <w:pPr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В начале 1960-х годов с полукруглой решёткой радиатора и бескаркасной кабиной с брезентовой крышей</w:t>
      </w:r>
    </w:p>
    <w:p w:rsidR="008B7CA7" w:rsidRPr="008B7CA7" w:rsidRDefault="008B7CA7" w:rsidP="008B7CA7">
      <w:pPr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С конца 1960-х годов с прямоугольной решёткой радиатора</w:t>
      </w:r>
    </w:p>
    <w:p w:rsidR="008B7CA7" w:rsidRPr="008B7CA7" w:rsidRDefault="008B7CA7" w:rsidP="008B7CA7">
      <w:pPr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CA7">
        <w:rPr>
          <w:rFonts w:ascii="Times New Roman" w:hAnsi="Times New Roman" w:cs="Times New Roman"/>
          <w:color w:val="000000" w:themeColor="text1"/>
          <w:sz w:val="24"/>
          <w:szCs w:val="24"/>
        </w:rPr>
        <w:t>В 1970-х годах — с изменённым внешним видом капота</w:t>
      </w:r>
    </w:p>
    <w:p w:rsidR="008B7CA7" w:rsidRDefault="008B7CA7" w:rsidP="008B7CA7">
      <w:pPr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color w:val="000000" w:themeColor="text1"/>
        </w:rPr>
      </w:pPr>
      <w:r w:rsidRPr="008B7CA7">
        <w:rPr>
          <w:rFonts w:ascii="Times New Roman" w:hAnsi="Times New Roman" w:cs="Times New Roman"/>
          <w:color w:val="000000" w:themeColor="text1"/>
        </w:rPr>
        <w:t>В конце 1970-х годов — с каркасной кабиной увеличенного размера и стеклопластиковой крышей.</w:t>
      </w:r>
    </w:p>
    <w:p w:rsidR="00D91CEB" w:rsidRPr="000B486F" w:rsidRDefault="00D91CEB" w:rsidP="00D91CEB">
      <w:pPr>
        <w:spacing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F74A4E" w:rsidRPr="000B486F" w:rsidRDefault="00F74A4E" w:rsidP="000B48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МТЗ-50 Беларус</w:t>
      </w:r>
      <w:r w:rsidR="000B486F" w:rsidRPr="000B4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</w:p>
    <w:p w:rsidR="00146CBD" w:rsidRDefault="000B486F" w:rsidP="000B48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 w:rsidR="00146C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B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назначения </w:t>
      </w:r>
    </w:p>
    <w:p w:rsidR="00146CBD" w:rsidRDefault="000B486F" w:rsidP="000B48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движителя</w:t>
      </w:r>
      <w:r w:rsidR="00146C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B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колесный </w:t>
      </w:r>
    </w:p>
    <w:p w:rsidR="00146CBD" w:rsidRDefault="000B486F" w:rsidP="000B48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6F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Тяговый класс</w:t>
      </w:r>
      <w:r w:rsidR="00146C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B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 1,4 </w:t>
      </w:r>
    </w:p>
    <w:p w:rsidR="000B486F" w:rsidRDefault="000B486F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Транспортная скорость, </w:t>
      </w:r>
      <w:proofErr w:type="gramStart"/>
      <w:r w:rsidRPr="000B486F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0B486F">
        <w:rPr>
          <w:rFonts w:ascii="Times New Roman" w:eastAsia="Times New Roman" w:hAnsi="Times New Roman" w:cs="Times New Roman"/>
          <w:sz w:val="24"/>
          <w:szCs w:val="24"/>
          <w:lang w:eastAsia="ru-RU"/>
        </w:rPr>
        <w:t>/ч 33</w:t>
      </w:r>
      <w:r w:rsidR="0014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конструкционная, </w:t>
      </w:r>
      <w:proofErr w:type="gram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3130;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в состоянии отгрузки с завода, </w:t>
      </w:r>
      <w:proofErr w:type="gram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3620;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эксплуатационная, </w:t>
      </w:r>
      <w:proofErr w:type="gram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3430;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 максимально допустимая (полная), </w:t>
      </w:r>
      <w:proofErr w:type="gram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3660;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База, </w:t>
      </w:r>
      <w:proofErr w:type="gram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2370;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3815x1970x2550;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Колея по передним колесам, </w:t>
      </w:r>
      <w:proofErr w:type="gram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1200-1800; Колея по задним колесам, мм 1400-2100;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просвет, </w:t>
      </w:r>
      <w:proofErr w:type="gram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465;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 топливного бака, </w:t>
      </w:r>
      <w:proofErr w:type="gram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130;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 движения, </w:t>
      </w:r>
      <w:proofErr w:type="gram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33; </w:t>
      </w:r>
    </w:p>
    <w:p w:rsidR="00F74A4E" w:rsidRDefault="00F74A4E" w:rsidP="002457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 </w:t>
      </w:r>
      <w:r w:rsidR="000B486F" w:rsidRPr="000B486F">
        <w:rPr>
          <w:rFonts w:ascii="Times New Roman" w:eastAsia="Times New Roman" w:hAnsi="Times New Roman" w:cs="Times New Roman"/>
          <w:sz w:val="24"/>
          <w:szCs w:val="24"/>
          <w:lang w:eastAsia="ru-RU"/>
        </w:rPr>
        <w:t>Д-50</w:t>
      </w:r>
      <w:r w:rsidR="000B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4-х </w:t>
      </w:r>
      <w:proofErr w:type="spell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тактный</w:t>
      </w:r>
      <w:proofErr w:type="spell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дизельный; Число цилиндров 4; Рабочий объем, </w:t>
      </w:r>
      <w:proofErr w:type="gram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4,75;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Мощность, кВт (</w:t>
      </w:r>
      <w:proofErr w:type="spell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41 (55);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 крутящего момента, % 15;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запаса крутящего момента, % 15;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Удельный расход топлива при эксплуатационной мощности, </w:t>
      </w:r>
      <w:proofErr w:type="gram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 8; </w:t>
      </w:r>
    </w:p>
    <w:p w:rsidR="00245765" w:rsidRDefault="00245765" w:rsidP="00245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6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трансмиссии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4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</w:t>
      </w:r>
      <w:proofErr w:type="gramEnd"/>
      <w:r w:rsidRPr="0024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765" w:rsidRDefault="00245765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агрегаты трансмиссии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45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увеличитель крутящего момента, </w:t>
      </w:r>
      <w:proofErr w:type="spellStart"/>
      <w:r w:rsidRPr="002457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ходоуменьшитель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Муфта сцепления сухая, однодисковая, постоянно замкнутая;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передач </w:t>
      </w:r>
      <w:proofErr w:type="spell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девятиступенчатая</w:t>
      </w:r>
      <w:proofErr w:type="spell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двухдиапазонная</w:t>
      </w:r>
      <w:proofErr w:type="spellEnd"/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74A4E" w:rsidRDefault="00F74A4E" w:rsidP="00F74A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передач вперед 9; Число передач назад 2; </w:t>
      </w:r>
    </w:p>
    <w:p w:rsidR="008E06B3" w:rsidRDefault="008E06B3" w:rsidP="008E06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 и 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подвески спереди – балансирная, сзади – жесткая </w:t>
      </w:r>
    </w:p>
    <w:p w:rsidR="008E06B3" w:rsidRDefault="008E06B3" w:rsidP="008E06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управления поворотом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передними колесами </w:t>
      </w:r>
    </w:p>
    <w:p w:rsidR="008E06B3" w:rsidRDefault="008E06B3" w:rsidP="008E06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 управляемые дисковые тормоза задних колёс </w:t>
      </w:r>
    </w:p>
    <w:p w:rsidR="008E06B3" w:rsidRDefault="008E06B3" w:rsidP="008E06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6B3" w:rsidRPr="00F74A4E" w:rsidRDefault="008E06B3" w:rsidP="008E06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Гидрооборудование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раздельно-агрегатная система: гидронасос, золотниково-клапанный </w:t>
      </w:r>
      <w:proofErr w:type="spellStart"/>
      <w:r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трехсекционный</w:t>
      </w:r>
      <w:proofErr w:type="spellEnd"/>
      <w:r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распределитель, задний гидроцилиндр, возможность подключения выносных цилиндров</w:t>
      </w:r>
      <w:r w:rsidR="00862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давление, МПа 20; Производительность насоса гидросистемы, МПа 45; Колесная формула 4К2;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A4E" w:rsidRDefault="0086265D" w:rsidP="008E06B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Пневмооборудование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E06B3"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тракторов – для привода тормозов прицепа Электрооборудование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E06B3" w:rsidRP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пуска двигателя, освещения и сигнализации. Напряжение – 12В</w:t>
      </w:r>
      <w:r w:rsidR="008E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4A4E" w:rsidRDefault="008E06B3" w:rsidP="006B69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1CEB" w:rsidRPr="008B7CA7" w:rsidRDefault="00D91CEB" w:rsidP="006B6919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6B6919" w:rsidRPr="006B6919" w:rsidRDefault="006B6919" w:rsidP="006B69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19">
        <w:rPr>
          <w:rFonts w:ascii="Times New Roman" w:eastAsia="Times New Roman" w:hAnsi="Times New Roman" w:cs="Times New Roman"/>
          <w:b/>
          <w:bCs/>
          <w:color w:val="780120"/>
          <w:sz w:val="24"/>
          <w:szCs w:val="24"/>
          <w:lang w:eastAsia="ru-RU"/>
        </w:rPr>
        <w:t>Технические характеристики колесных тракторов МТЗ-50, МТЗ-52</w:t>
      </w:r>
    </w:p>
    <w:p w:rsidR="006B6919" w:rsidRPr="006B6919" w:rsidRDefault="006B6919" w:rsidP="006B69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1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Тип трактора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МТЗ-50ПЛ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МТЗ-50Х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МТЗ-50А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МТЗ-52А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МТЗ-50Х1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МТЗ-52АН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МТЗ-50АК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Год выпуска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1961-1969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1962-1968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1962-1968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1969-1974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1969-1974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1969-1974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1969-1974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1969-1974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3х2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4х2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4х4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3х2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4х4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3х2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Масса снаряженная, 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2400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2420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2720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2950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3230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2955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2740</w:t>
            </w:r>
          </w:p>
        </w:tc>
      </w:tr>
      <w:tr w:rsidR="006B6919" w:rsidRPr="006B6919" w:rsidTr="006B6919">
        <w:trPr>
          <w:trHeight w:val="105"/>
        </w:trPr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Габаритные размеры, 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3810х2405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 2360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3810х2405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 2360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3935х1970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 2405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3960х1970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х2640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3815х1970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х2485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3895х1970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х2489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4040х2326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х2660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3895х2326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х2489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3815х2326</w:t>
            </w: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br/>
              <w:t>х2485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Радиус поворота, 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Клиренс, 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Колесная база, 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2360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2360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2450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н.д</w:t>
            </w:r>
            <w:proofErr w:type="spellEnd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2370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2460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н.д</w:t>
            </w:r>
            <w:proofErr w:type="spellEnd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2460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2370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Колея, 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-/ 1900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-/ 1900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1200-1800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Шины спереди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8,00х20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8,00х20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8,00-20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6,50х20</w:t>
            </w:r>
          </w:p>
        </w:tc>
      </w:tr>
      <w:tr w:rsidR="006B6919" w:rsidRPr="006B6919" w:rsidTr="006B6919">
        <w:trPr>
          <w:trHeight w:val="210"/>
        </w:trPr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Шины сзади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12х38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Д-50Л/ Д-50М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Д-48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Д-50Л/ Д-50М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Д-50</w:t>
            </w:r>
          </w:p>
        </w:tc>
      </w:tr>
      <w:tr w:rsidR="006B6919" w:rsidRPr="006B6919" w:rsidTr="006B6919">
        <w:trPr>
          <w:trHeight w:val="180"/>
        </w:trPr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Рабочий объем, см3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4750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Номинальная мощность, </w:t>
            </w:r>
            <w:proofErr w:type="spell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proofErr w:type="gramStart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spellEnd"/>
            <w:proofErr w:type="gramEnd"/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50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 xml:space="preserve">55 при 1600 мин-1 </w:t>
            </w:r>
          </w:p>
        </w:tc>
      </w:tr>
      <w:tr w:rsidR="006B6919" w:rsidRPr="006B6919" w:rsidTr="006B6919">
        <w:tc>
          <w:tcPr>
            <w:tcW w:w="0" w:type="auto"/>
            <w:hideMark/>
          </w:tcPr>
          <w:p w:rsidR="006B6919" w:rsidRPr="006B6919" w:rsidRDefault="006B6919" w:rsidP="006B691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Число передач вперед/ назад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  <w:tc>
          <w:tcPr>
            <w:tcW w:w="0" w:type="auto"/>
            <w:hideMark/>
          </w:tcPr>
          <w:p w:rsidR="006B6919" w:rsidRPr="006B6919" w:rsidRDefault="006B6919" w:rsidP="006B69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919">
              <w:rPr>
                <w:rFonts w:ascii="Times New Roman" w:eastAsia="Times New Roman" w:hAnsi="Times New Roman" w:cs="Times New Roman"/>
                <w:lang w:eastAsia="ru-RU"/>
              </w:rPr>
              <w:t>9/2</w:t>
            </w:r>
          </w:p>
        </w:tc>
      </w:tr>
    </w:tbl>
    <w:p w:rsidR="008B7CA7" w:rsidRPr="00D430EC" w:rsidRDefault="008B7CA7" w:rsidP="006B691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ABB" w:rsidRPr="00D430EC" w:rsidRDefault="000E5ABB" w:rsidP="00D430EC">
      <w:pPr>
        <w:spacing w:line="240" w:lineRule="auto"/>
        <w:rPr>
          <w:color w:val="000000" w:themeColor="text1"/>
        </w:rPr>
      </w:pPr>
    </w:p>
    <w:sectPr w:rsidR="000E5ABB" w:rsidRPr="00D430EC" w:rsidSect="005717C9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4BE5"/>
    <w:multiLevelType w:val="multilevel"/>
    <w:tmpl w:val="97D2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E697A"/>
    <w:multiLevelType w:val="multilevel"/>
    <w:tmpl w:val="9A78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8C"/>
    <w:rsid w:val="000B486F"/>
    <w:rsid w:val="000E5ABB"/>
    <w:rsid w:val="00146CBD"/>
    <w:rsid w:val="001F01EE"/>
    <w:rsid w:val="00245765"/>
    <w:rsid w:val="004271F3"/>
    <w:rsid w:val="0052150E"/>
    <w:rsid w:val="005717C9"/>
    <w:rsid w:val="0061668C"/>
    <w:rsid w:val="00663D4C"/>
    <w:rsid w:val="006B6919"/>
    <w:rsid w:val="007A721F"/>
    <w:rsid w:val="00846105"/>
    <w:rsid w:val="0086265D"/>
    <w:rsid w:val="008B7CA7"/>
    <w:rsid w:val="008E06B3"/>
    <w:rsid w:val="00A32C42"/>
    <w:rsid w:val="00AA00E5"/>
    <w:rsid w:val="00D430EC"/>
    <w:rsid w:val="00D91CEB"/>
    <w:rsid w:val="00DA0880"/>
    <w:rsid w:val="00EA2868"/>
    <w:rsid w:val="00F7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3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3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30EC"/>
    <w:rPr>
      <w:color w:val="0000FF"/>
      <w:u w:val="single"/>
    </w:rPr>
  </w:style>
  <w:style w:type="paragraph" w:customStyle="1" w:styleId="name">
    <w:name w:val="name"/>
    <w:basedOn w:val="a"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D430EC"/>
  </w:style>
  <w:style w:type="paragraph" w:customStyle="1" w:styleId="text">
    <w:name w:val="text"/>
    <w:basedOn w:val="a"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EC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8B7CA7"/>
  </w:style>
  <w:style w:type="table" w:styleId="a7">
    <w:name w:val="Table Grid"/>
    <w:basedOn w:val="a1"/>
    <w:uiPriority w:val="59"/>
    <w:rsid w:val="006B69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3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3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30EC"/>
    <w:rPr>
      <w:color w:val="0000FF"/>
      <w:u w:val="single"/>
    </w:rPr>
  </w:style>
  <w:style w:type="paragraph" w:customStyle="1" w:styleId="name">
    <w:name w:val="name"/>
    <w:basedOn w:val="a"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den-xs">
    <w:name w:val="hidden-xs"/>
    <w:basedOn w:val="a0"/>
    <w:rsid w:val="00D430EC"/>
  </w:style>
  <w:style w:type="paragraph" w:customStyle="1" w:styleId="text">
    <w:name w:val="text"/>
    <w:basedOn w:val="a"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43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3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EC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rsid w:val="008B7CA7"/>
  </w:style>
  <w:style w:type="table" w:styleId="a7">
    <w:name w:val="Table Grid"/>
    <w:basedOn w:val="a1"/>
    <w:uiPriority w:val="59"/>
    <w:rsid w:val="006B69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38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861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1%88%D0%BA%D0%B5%D0%BD%D1%82%D1%81%D0%BA%D0%B8%D0%B9_%D1%82%D1%80%D0%B0%D0%BA%D1%82%D0%BE%D1%80%D0%BD%D1%8B%D0%B9_%D0%B7%D0%B0%D0%B2%D0%BE%D0%B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rakoom.com/data/blogs/787/30099/image/3716508877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1%D0%B8%D0%BB%D0%B8%D1%81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2019-09-27T09:24:00Z</dcterms:created>
  <dcterms:modified xsi:type="dcterms:W3CDTF">2019-09-28T12:29:00Z</dcterms:modified>
</cp:coreProperties>
</file>