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EE" w:rsidRPr="00EA2868" w:rsidRDefault="0041273F" w:rsidP="00EA286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0c0405f4bb4752549e54bba6e9493ebc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08-20</w:t>
      </w:r>
      <w:r w:rsidR="006458D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127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МТЗ-50Х/50Х1 "Беларусь" 3х2 колесный трактор общего назначения для возделывания и уборки хлопчатника, тяговый класс 1,4, мест 1, снаряжённый вес 2.6/3.23 тн, ММЗ Д-50 55 лс, 24.8/5.78 км/час, г.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Минск, Ташкент до 1985 г., 1964/68-77 г.</w:t>
      </w:r>
    </w:p>
    <w:p w:rsidR="001F01EE" w:rsidRDefault="00145122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72B445" wp14:editId="6B7A7DE6">
            <wp:simplePos x="0" y="0"/>
            <wp:positionH relativeFrom="margin">
              <wp:posOffset>346710</wp:posOffset>
            </wp:positionH>
            <wp:positionV relativeFrom="margin">
              <wp:posOffset>895350</wp:posOffset>
            </wp:positionV>
            <wp:extent cx="5482590" cy="41529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122" w:rsidRDefault="00896565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122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2EB7" w:rsidRDefault="00145122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6565" w:rsidRPr="00896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1963 году была завершена разработка конструкции и выпущены опытные образцы тр</w:t>
      </w:r>
      <w:r w:rsidR="00896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актора МТЗ-50Х </w:t>
      </w:r>
      <w:r w:rsidR="00C407F9" w:rsidRPr="00C4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«Беларусь» </w:t>
      </w:r>
      <w:r w:rsidR="000C5C54" w:rsidRPr="000C5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высоким клиренсом</w:t>
      </w:r>
      <w:r w:rsidR="000C5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07F9" w:rsidRPr="00C4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 для хлопководческих хозяйств. </w:t>
      </w:r>
      <w:r w:rsidR="00896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2E94" w:rsidRPr="00AC2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необходимые испытания трактора закончили в 1966 году, после чего началась подготовка к его серийному производству заводскими службами. </w:t>
      </w:r>
    </w:p>
    <w:p w:rsidR="0076636C" w:rsidRPr="0076636C" w:rsidRDefault="00896565" w:rsidP="00672E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07F9" w:rsidRPr="00C4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Принципиальное отличие от серийной модели — трехколесная схема</w:t>
      </w:r>
      <w:r w:rsidR="00201E91" w:rsidRPr="00201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1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201E91" w:rsidRPr="00C4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</w:t>
      </w:r>
      <w:r w:rsidR="00201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201E91" w:rsidRPr="00C4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одиночного переднего колеса, установленного в поворотной вилке</w:t>
      </w:r>
      <w:r w:rsidR="00192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07F9" w:rsidRPr="00C4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2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="0055238A" w:rsidRPr="00552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улучшает маневренность трактора</w:t>
      </w:r>
      <w:r w:rsidR="00552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2E17" w:rsidRPr="00672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счет увеличения угла поворота переднего колеса</w:t>
      </w:r>
      <w:r w:rsidR="00672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192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позволяет работать</w:t>
      </w:r>
      <w:r w:rsidR="00C407F9" w:rsidRPr="00C4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четырехрядной системе. </w:t>
      </w:r>
      <w:r w:rsidR="00201E91" w:rsidRPr="00C4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трансмиссии вместо усилителя крутящего момента устанавливался реверсивный редуктор, позволяющий использовать передачи переднего хода для движения назад.</w:t>
      </w:r>
      <w:r w:rsidR="00201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76636C" w:rsidRPr="0076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орожный просвет</w:t>
      </w:r>
      <w:r w:rsidR="0076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рукавами полуосей </w:t>
      </w:r>
      <w:r w:rsidR="0076636C" w:rsidRPr="0076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задних колес увеличен до 830 мм за счет введения дополнительных бортовых редукторов</w:t>
      </w:r>
      <w:r w:rsidR="0076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="0076636C" w:rsidRPr="0076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олея задних колес обеспечивает работу трактор</w:t>
      </w:r>
      <w:r w:rsidR="0076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 междурядьях 900 и 1000 мм. </w:t>
      </w:r>
      <w:r w:rsidR="00552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6636C" w:rsidRPr="0076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ъемные боковые валы отбора мощности с раздельным управлением и расположением хвостовиков перпендикулярно продольной оси трактора имеют синхронный привод от ведущих шестерен конечн</w:t>
      </w:r>
      <w:r w:rsidR="00552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передачи. Р</w:t>
      </w:r>
      <w:r w:rsidR="0076636C" w:rsidRPr="0076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яд дополнительных мест приспособлен для  крепления сельскохозяйственных  машин   и   орудий.</w:t>
      </w:r>
      <w:r w:rsidR="00380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05E9" w:rsidRPr="00380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конца 60-х г. на тракторах МТЗ-50 меняется дизайн передней об</w:t>
      </w:r>
      <w:r w:rsidR="00380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лицовки с полукруглой на прямоуголь</w:t>
      </w:r>
      <w:r w:rsidR="003805E9" w:rsidRPr="00380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ную, при этом индексация осталась прежней</w:t>
      </w:r>
      <w:r w:rsidR="00380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636C" w:rsidRDefault="0055238A" w:rsidP="0076636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636C" w:rsidRPr="0076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Перечисленные особенности трактора МТЗ-50Х дают возможность использовать его для комплексной механизации работ в условиях хлопководства со значительным повышением производительности труда при возделывании хлопчатника</w:t>
      </w:r>
      <w:r w:rsidR="0076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01E91" w:rsidRDefault="00201E91" w:rsidP="00201E9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Модификация максимально унифицирована</w:t>
      </w:r>
      <w:r w:rsidRPr="00201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основной номенклатуре деталей, узлов и агрегатов. Подобный подход позволяет снизить отпускную цену на конечную продукцию завода и упростить снабжение сельхозпредприятий запасными частями и комплектующими.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07F9" w:rsidRDefault="00201E91" w:rsidP="00C407F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2E94" w:rsidRPr="00AC2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Производство трактора МТЗ-50Х продолжалось восемь лет: с 1969 года по 1977 год. Затем производство было передано Ташкентскому тракторному заводу.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07F9" w:rsidRPr="00C4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430EC" w:rsidRPr="00D430EC" w:rsidRDefault="00CB463D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"http://carakoom.com/u/787" </w:instrTex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D430EC" w:rsidRPr="00D430EC" w:rsidRDefault="00D430EC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Сергей Бездорожный</w:t>
      </w:r>
      <w:r w:rsidR="001F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01EE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 января 2017</w:t>
      </w:r>
      <w:r w:rsidR="00952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компи</w:t>
      </w:r>
      <w:r w:rsidR="00B82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ляция.</w:t>
      </w:r>
      <w:r w:rsidR="001F01EE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bookmarkEnd w:id="0"/>
    </w:p>
    <w:p w:rsidR="00D430EC" w:rsidRPr="00D430EC" w:rsidRDefault="00D430EC" w:rsidP="001F01E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430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Универсально-пропашной трактор МТЗ-50</w:t>
      </w:r>
    </w:p>
    <w:p w:rsidR="00D430EC" w:rsidRPr="00D430EC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Детище Минского тракторного завода, МТЗ-50, - одна из самых удачных и самых распространенных конструкций трактора в СССР. Эту модель и ее модификации выпускали с 1962 по 1985 год - более 20 лет!</w:t>
      </w:r>
    </w:p>
    <w:p w:rsidR="00D430EC" w:rsidRPr="00D430EC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Колесный трактор общего назначения можно было применять для пахоты легких и средних почв, предпосевной обработки, посева и уборки зерновых культур, обработки пропашных культур и транспортных работ. Компоновка машины была традиционной для всего семейства МТЗ: переднее расположение двигателя, полурамная конструкция с несущими картерами узлов трансмиссии, передние колеса - направляющие, уменьшенного диаметра, задние - ведущие, увеличенного диаметра.</w:t>
      </w:r>
    </w:p>
    <w:p w:rsidR="00D430EC" w:rsidRPr="00D430EC" w:rsidRDefault="00DA0880" w:rsidP="00D430E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История создания МТЗ-50</w:t>
      </w:r>
    </w:p>
    <w:p w:rsidR="00D430EC" w:rsidRPr="00D430EC" w:rsidRDefault="00DA0880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5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самого начала выпуска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универсально-пропашного трактора - МТЗ - конструкторы Минского тракторного завода постоянно занимались его улучшением. В 1950-е годы один за другим выходили в свет модернизированные варианты: МТЗ-5 и МТЗ-7. Однако параллельно шла работа над новой базовой моделью «Беларуса».</w:t>
      </w:r>
    </w:p>
    <w:p w:rsidR="00D430EC" w:rsidRPr="00D430EC" w:rsidRDefault="00DA0880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главного конструктора Минского тракторного завода совместно с Научным автотракторным институтом разработали техническое задание на проектирование новог</w:t>
      </w:r>
      <w:r w:rsidR="00845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пропашного трактора - МТЗ-50.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Технический проект трактора был завершен в 1957 году. Через год экспериментальный цех Отдела главного конструктора выпустил несколько опытных образцов трактора под маркой МТЗ-50. Испытания проходили на государственных машиностроительных станциях, в колхозе имени Кирова Воронежской области и в колхозе имени XX съезда КПСС (УССР). По результатам испытаний научно-технический совет ВО «Сельхозтехника» рекомендовал колесный универсально-пропашной трактор класса 1,4 «Беларус» МТЗ-50 к серийному производству.</w:t>
      </w:r>
    </w:p>
    <w:p w:rsidR="00D430EC" w:rsidRPr="00D430EC" w:rsidRDefault="00846105" w:rsidP="00280C0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базе трактора МТЗ-50 коллективом конструкторов завода была разработана модификация высокой проходимости с четырьмя ведущими колесами - МТЗ-52. </w:t>
      </w:r>
      <w:r w:rsidR="00280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0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430EC" w:rsidRPr="00D430EC" w:rsidRDefault="00846105" w:rsidP="0084610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Преимущества новой модели</w:t>
      </w:r>
    </w:p>
    <w:p w:rsidR="00D430EC" w:rsidRPr="00D430EC" w:rsidRDefault="00D430EC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Трактор МТЗ-50 оснастили дизельным двигателем </w:t>
      </w:r>
      <w:r w:rsidR="00845A5C" w:rsidRPr="00845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Минского моторного завода</w:t>
      </w:r>
      <w:r w:rsidR="00845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мощностью 55 л. с., вес машины снизился по сравнению с МТЗ-5МЛ более чем на 400 кг. В трансмиссии трактора была использована 9-скоростная коробка передач, 4-ходовая, с прямой передачей и редуктором. Диапазон скоростей от 1,65 до 25 км/ч дал возможность более эффективно использовать мощность двигателя. Трактор оборудовали раздельно-агрегатной гидравлической навесной системой, гидравлическим догружателем ведущих колес, с помощью которого часть массы навесных машин может передаваться на задние колеса, чем снижается буксование при выполнении энергоемких работ; гидроусилителем руля; гидрофицированным крюком.</w:t>
      </w:r>
      <w:r w:rsidR="00C117C7" w:rsidRPr="00C11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17C7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Впервые в отрасли был разработан и внедрен гидроусилитель рулевого управления.</w:t>
      </w:r>
    </w:p>
    <w:p w:rsidR="00D430EC" w:rsidRPr="00D430EC" w:rsidRDefault="00846105" w:rsidP="0095263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агрегатирования трактора с широким комплексом сельскохозяйственных машин и транспортными прицепами с активной осью он оснащен задним, передним и </w:t>
      </w:r>
      <w:r w:rsidR="00280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боковым валами отбора мощности.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Трактор оборудован съемной кабиной.</w:t>
      </w:r>
      <w:r w:rsidR="00952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430EC" w:rsidRPr="00D430EC" w:rsidRDefault="005717C9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МТЗ-50 создано семейство унифицированных модификаций различного назначения: хлопководческая (МТЗ-50Х), крутосклонная, полугусеничная, гусеничные - виноградниковая (Т-54В), лесохозяйственная (Т-54Л) и свекловодческая (Т-54С).</w:t>
      </w:r>
    </w:p>
    <w:p w:rsidR="00D430EC" w:rsidRPr="00D430EC" w:rsidRDefault="005717C9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 МТЗ-50Х предназначался для возделывания и уборки хлопчатника в четырехрядной системе машин с междурядьями 90 см. Он принципиально отличался от МТЗ-50 конструкцией передней оси (имел одно ведущее колесо). Был также изменен узел конечных передач с дополнительными редукторами. Начатое в 1969 году серийное производство трактора МТЗ-50Х продолжалось до 1977 года, а затем было передано Ташкентскому тракторному заводу.</w:t>
      </w:r>
    </w:p>
    <w:p w:rsidR="00D430EC" w:rsidRPr="00D430EC" w:rsidRDefault="005717C9" w:rsidP="005717C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Гусеничные варианты</w:t>
      </w:r>
    </w:p>
    <w:p w:rsidR="00D430EC" w:rsidRPr="008B7CA7" w:rsidRDefault="00D430EC" w:rsidP="00CE082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базе трактора МТЗ-50 были созданы три гусеничные модификации, причем узловая унификация с трактором МТЗ-50 составляла более 62 %. Все три гусеничные модели выпускал Кишиневский тракторный завод.</w:t>
      </w:r>
    </w:p>
    <w:p w:rsidR="008B7CA7" w:rsidRPr="008B7CA7" w:rsidRDefault="008B7CA7" w:rsidP="008B7CA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7CA7" w:rsidRPr="008B7CA7" w:rsidRDefault="008B7CA7" w:rsidP="008B7CA7">
      <w:pPr>
        <w:pStyle w:val="2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8B7CA7">
        <w:rPr>
          <w:rStyle w:val="mw-headline"/>
          <w:color w:val="000000" w:themeColor="text1"/>
          <w:sz w:val="24"/>
          <w:szCs w:val="24"/>
        </w:rPr>
        <w:t>Модификации</w:t>
      </w:r>
    </w:p>
    <w:p w:rsidR="008B7CA7" w:rsidRPr="008B7CA7" w:rsidRDefault="008B7CA7" w:rsidP="008B7CA7">
      <w:pPr>
        <w:pStyle w:val="a4"/>
        <w:spacing w:before="0" w:beforeAutospacing="0" w:after="0" w:afterAutospacing="0"/>
        <w:rPr>
          <w:color w:val="000000" w:themeColor="text1"/>
        </w:rPr>
      </w:pPr>
      <w:r w:rsidRPr="008B7CA7">
        <w:rPr>
          <w:color w:val="000000" w:themeColor="text1"/>
        </w:rPr>
        <w:t xml:space="preserve">За годы выпуска, конструкция трактора неоднократно модернизировалась. Для нужд народного хозяйства выпускались специальные модификации: </w:t>
      </w:r>
    </w:p>
    <w:p w:rsidR="000B486F" w:rsidRDefault="008B7CA7" w:rsidP="000B486F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МТЗ-60 и МТЗ-62 </w:t>
      </w:r>
      <w:r w:rsidR="00A87E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двигателем СМД-12, мощностью 65 л. с. </w:t>
      </w:r>
      <w:r w:rsidR="00A87E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(выпускалась в основном на экспорт)</w:t>
      </w:r>
    </w:p>
    <w:p w:rsidR="008B7CA7" w:rsidRPr="000B486F" w:rsidRDefault="008B7CA7" w:rsidP="000B486F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86F">
        <w:rPr>
          <w:rFonts w:ascii="Times New Roman" w:hAnsi="Times New Roman" w:cs="Times New Roman"/>
          <w:color w:val="000000" w:themeColor="text1"/>
          <w:sz w:val="24"/>
          <w:szCs w:val="24"/>
        </w:rPr>
        <w:t>МТЗ-50Х </w:t>
      </w:r>
      <w:r w:rsidR="00A87E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B4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высококлиренсная хлопководческая, с </w:t>
      </w:r>
      <w:r w:rsidR="00AA00E5" w:rsidRPr="000B4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уменьшенным расстоянием между задними колесами и </w:t>
      </w:r>
      <w:r w:rsidRPr="000B4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передним колесом или двумя сближенными колёсами (выпускалась совместно с </w:t>
      </w:r>
      <w:hyperlink r:id="rId8" w:tooltip="Ташкентский тракторный завод" w:history="1">
        <w:r w:rsidRPr="000B48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Ташкентским тракторным заводом</w:t>
        </w:r>
      </w:hyperlink>
      <w:r w:rsidRPr="000B48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B7CA7" w:rsidRPr="008B7CA7" w:rsidRDefault="008B7CA7" w:rsidP="008B7CA7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МТЗ-50К (Т-50К) </w:t>
      </w:r>
      <w:r w:rsidR="00A87E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крутосклонная колёсная, выпускалась в </w:t>
      </w:r>
      <w:hyperlink r:id="rId9" w:tooltip="Тбилиси" w:history="1">
        <w:r w:rsidRPr="008B7C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Тбилиси</w:t>
        </w:r>
      </w:hyperlink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3147" w:rsidRDefault="008B7CA7" w:rsidP="00013147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Т-50В и Т-54В </w:t>
      </w:r>
      <w:r w:rsidR="00A87E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гусеничная, для работы в виноградниках.</w:t>
      </w:r>
    </w:p>
    <w:p w:rsidR="008B7CA7" w:rsidRPr="00013147" w:rsidRDefault="008B7CA7" w:rsidP="00013147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147">
        <w:rPr>
          <w:rFonts w:ascii="Times New Roman" w:hAnsi="Times New Roman" w:cs="Times New Roman"/>
          <w:color w:val="000000" w:themeColor="text1"/>
          <w:sz w:val="24"/>
          <w:szCs w:val="24"/>
        </w:rPr>
        <w:t>МТЗ-50Р </w:t>
      </w:r>
      <w:r w:rsidR="00A87E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1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полугусеничная, </w:t>
      </w:r>
      <w:r w:rsidR="00013147" w:rsidRPr="00013147">
        <w:rPr>
          <w:rFonts w:ascii="Times New Roman" w:hAnsi="Times New Roman" w:cs="Times New Roman"/>
          <w:color w:val="000000" w:themeColor="text1"/>
          <w:sz w:val="24"/>
          <w:szCs w:val="24"/>
        </w:rPr>
        <w:t>для комплексной механизации возделывания риса и сопутствующих культур севооборота, в том числе для обработки и планировки залитых водой поливных участков и чеков, посевов риса, ухода за ирригационной системой</w:t>
      </w:r>
      <w:r w:rsidRPr="000131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CA7" w:rsidRPr="008B7CA7" w:rsidRDefault="008B7CA7" w:rsidP="008B7CA7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МТЗ-52Н </w:t>
      </w:r>
      <w:r w:rsidR="00A87E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низкоклиренсная, (задние колёса уменьшенного размера, балочный передний мост вместо портального).</w:t>
      </w:r>
    </w:p>
    <w:p w:rsidR="008B7CA7" w:rsidRDefault="008B7CA7" w:rsidP="008B7CA7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МТЗ-50Л </w:t>
      </w:r>
      <w:r w:rsidR="00A87E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отличался от МТЗ-50 пусковым устройством двигателя.</w:t>
      </w:r>
    </w:p>
    <w:p w:rsidR="009950B3" w:rsidRDefault="009950B3" w:rsidP="009950B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CA7" w:rsidRPr="008B7CA7" w:rsidRDefault="008B7CA7" w:rsidP="008B7CA7">
      <w:pPr>
        <w:pStyle w:val="a4"/>
        <w:spacing w:before="0" w:beforeAutospacing="0" w:after="0" w:afterAutospacing="0"/>
        <w:rPr>
          <w:color w:val="000000" w:themeColor="text1"/>
        </w:rPr>
      </w:pPr>
      <w:r w:rsidRPr="008B7CA7">
        <w:rPr>
          <w:color w:val="000000" w:themeColor="text1"/>
        </w:rPr>
        <w:t xml:space="preserve">За годы выпуска менялся внешний вид и конструкция кабины, хотя индексация оставалась без изменений: </w:t>
      </w:r>
    </w:p>
    <w:p w:rsidR="008B7CA7" w:rsidRPr="008B7CA7" w:rsidRDefault="008B7CA7" w:rsidP="008B7CA7">
      <w:pPr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В начале 1960-х годов с полукруглой решёткой радиатора и бескаркасной кабиной с брезентовой крышей</w:t>
      </w:r>
    </w:p>
    <w:p w:rsidR="008B7CA7" w:rsidRPr="008B7CA7" w:rsidRDefault="008B7CA7" w:rsidP="008B7CA7">
      <w:pPr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С конца 1960-х годов с прямоугольной решёткой радиатора</w:t>
      </w:r>
    </w:p>
    <w:p w:rsidR="008B7CA7" w:rsidRPr="008B7CA7" w:rsidRDefault="008B7CA7" w:rsidP="008B7CA7">
      <w:pPr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В 1970-х годах </w:t>
      </w:r>
      <w:r w:rsidR="00A87E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изменённым внешним видом капота</w:t>
      </w:r>
    </w:p>
    <w:p w:rsidR="008B7CA7" w:rsidRDefault="008B7CA7" w:rsidP="008B7CA7">
      <w:pPr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8B7CA7">
        <w:rPr>
          <w:rFonts w:ascii="Times New Roman" w:hAnsi="Times New Roman" w:cs="Times New Roman"/>
          <w:color w:val="000000" w:themeColor="text1"/>
        </w:rPr>
        <w:t>В конце 1970-х годов </w:t>
      </w:r>
      <w:r w:rsidR="00A87E92">
        <w:rPr>
          <w:rFonts w:ascii="Times New Roman" w:hAnsi="Times New Roman" w:cs="Times New Roman"/>
          <w:color w:val="000000" w:themeColor="text1"/>
        </w:rPr>
        <w:t>-</w:t>
      </w:r>
      <w:r w:rsidRPr="008B7CA7">
        <w:rPr>
          <w:rFonts w:ascii="Times New Roman" w:hAnsi="Times New Roman" w:cs="Times New Roman"/>
          <w:color w:val="000000" w:themeColor="text1"/>
        </w:rPr>
        <w:t xml:space="preserve"> с каркасной кабиной увеличенного размера и стеклопластиковой крышей.</w:t>
      </w:r>
    </w:p>
    <w:p w:rsidR="00D91CEB" w:rsidRPr="000B486F" w:rsidRDefault="00D91CEB" w:rsidP="00D91CE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74A4E" w:rsidRPr="000B486F" w:rsidRDefault="00F74A4E" w:rsidP="000B48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МТЗ-50 Беларус</w:t>
      </w:r>
      <w:r w:rsidR="000B486F" w:rsidRPr="000B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</w:p>
    <w:p w:rsidR="00146CBD" w:rsidRDefault="000B486F" w:rsidP="000B48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146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назначения, </w:t>
      </w:r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движителя</w:t>
      </w:r>
      <w:r w:rsidR="00146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колесный</w:t>
      </w:r>
      <w:r w:rsidR="0083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Тяговый класс</w:t>
      </w:r>
      <w:r w:rsidR="00146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1,4 </w:t>
      </w:r>
    </w:p>
    <w:p w:rsidR="000B486F" w:rsidRDefault="000B486F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скорость, км/ч 33</w:t>
      </w:r>
      <w:r w:rsidR="0014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A4E" w:rsidRDefault="0083354D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</w:t>
      </w: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конструкционная</w:t>
      </w:r>
      <w:r w:rsidR="00F74A4E"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3130; </w:t>
      </w: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отгрузки с завода</w:t>
      </w: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3620;</w:t>
      </w:r>
      <w:r w:rsidRPr="0083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</w:t>
      </w: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3430;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максимально допустимая (полная), кг 3660; </w:t>
      </w:r>
    </w:p>
    <w:p w:rsidR="00CE0821" w:rsidRDefault="00F74A4E" w:rsidP="00CE0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 мм</w:t>
      </w:r>
      <w:r w:rsidR="008335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3815x1970x2550; </w:t>
      </w:r>
      <w:r w:rsidR="00CE0821"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r w:rsidR="0083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E0821"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2370;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</w:t>
      </w:r>
      <w:r w:rsidR="00CE0821"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r w:rsidR="00CE08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передним колесам 1200-1800; по задним </w:t>
      </w:r>
      <w:r w:rsidR="00CE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1400-2100;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просвет, мм 465;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топливного бака, л 130;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движения, км/ч 33; </w:t>
      </w:r>
    </w:p>
    <w:p w:rsidR="00F74A4E" w:rsidRDefault="00F74A4E" w:rsidP="002457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 w:rsidR="000B486F"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>Д-50</w:t>
      </w:r>
      <w:r w:rsid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122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bookmarkStart w:id="1" w:name="_GoBack"/>
      <w:bookmarkEnd w:id="1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тактный, дизельный; Число цилиндров 4; Рабочий объем, л 4,75;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кВт (л.с.) 41 (55); Запас крутящего момента, % 15;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запаса крутящего момента, % 15;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расход топлива при эксплуатационной мощности, л/ч 8; </w:t>
      </w:r>
    </w:p>
    <w:p w:rsidR="00245765" w:rsidRDefault="00245765" w:rsidP="00245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трансмиссии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механическая </w:t>
      </w:r>
    </w:p>
    <w:p w:rsidR="00245765" w:rsidRDefault="00245765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агрегаты трансмиссии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увеличитель крутящего момента, ходоуменьшитель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Муфта сцепления сухая, однодисковая, постоянно замкнутая;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передач девятиступенчатая двухдиапазонная;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передач вперед 9; Число передач назад 2; </w:t>
      </w:r>
    </w:p>
    <w:p w:rsidR="008E06B3" w:rsidRDefault="008E06B3" w:rsidP="008E0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и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подвески спереди – балансирная, сзади – жесткая </w:t>
      </w:r>
    </w:p>
    <w:p w:rsidR="008E06B3" w:rsidRDefault="008E06B3" w:rsidP="008E0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управления поворотом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передними колесами </w:t>
      </w:r>
    </w:p>
    <w:p w:rsidR="008E06B3" w:rsidRDefault="008E06B3" w:rsidP="008E0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 управляемые дисковые тормоза задних колёс </w:t>
      </w:r>
    </w:p>
    <w:p w:rsidR="008E06B3" w:rsidRPr="00F74A4E" w:rsidRDefault="008E06B3" w:rsidP="008E0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раздельно-агрегатная система: гидронасос, золотниково-клапанный трехсекционный распределитель, задний гидроцилиндр, возможность подключения выносных цилиндров</w:t>
      </w:r>
      <w:r w:rsidR="00862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давление, МПа 20; Производительность насоса гидросистемы, МПа 45; Колесная формула 4К2;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A4E" w:rsidRDefault="0086265D" w:rsidP="008E0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Пневмооборудование: </w:t>
      </w:r>
      <w:r w:rsidR="008E06B3"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тракторов – для привода тормозов прицепа Электрооборудование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E06B3"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пуска двигателя, освещения и сигнализации. Напряжение – 12В</w:t>
      </w:r>
      <w:r w:rsid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919" w:rsidRDefault="006B6919" w:rsidP="0014512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780120"/>
          <w:sz w:val="24"/>
          <w:szCs w:val="24"/>
          <w:lang w:eastAsia="ru-RU"/>
        </w:rPr>
      </w:pPr>
      <w:r w:rsidRPr="006B6919">
        <w:rPr>
          <w:rFonts w:ascii="Times New Roman" w:eastAsia="Times New Roman" w:hAnsi="Times New Roman" w:cs="Times New Roman"/>
          <w:b/>
          <w:bCs/>
          <w:color w:val="780120"/>
          <w:sz w:val="24"/>
          <w:szCs w:val="24"/>
          <w:lang w:eastAsia="ru-RU"/>
        </w:rPr>
        <w:lastRenderedPageBreak/>
        <w:t>Технические характеристики колесных тракторов МТЗ-50, МТЗ-52</w:t>
      </w:r>
    </w:p>
    <w:p w:rsidR="00145122" w:rsidRPr="006B6919" w:rsidRDefault="00145122" w:rsidP="00145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9"/>
        <w:gridCol w:w="978"/>
        <w:gridCol w:w="978"/>
        <w:gridCol w:w="978"/>
        <w:gridCol w:w="979"/>
        <w:gridCol w:w="979"/>
        <w:gridCol w:w="979"/>
        <w:gridCol w:w="979"/>
        <w:gridCol w:w="979"/>
        <w:gridCol w:w="979"/>
      </w:tblGrid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МТЗ-50ПЛ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МТЗ-52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МТЗ-50Х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МТЗ-50А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МТЗ-52А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МТЗ-50Х1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МТЗ-52АН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МТЗ-50АК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0" w:type="auto"/>
            <w:hideMark/>
          </w:tcPr>
          <w:p w:rsidR="006B6919" w:rsidRPr="006B6919" w:rsidRDefault="006B6919" w:rsidP="00701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1961-69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0" w:type="auto"/>
            <w:hideMark/>
          </w:tcPr>
          <w:p w:rsidR="006B6919" w:rsidRPr="006B6919" w:rsidRDefault="006B6919" w:rsidP="00701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1962-68</w:t>
            </w:r>
          </w:p>
        </w:tc>
        <w:tc>
          <w:tcPr>
            <w:tcW w:w="0" w:type="auto"/>
            <w:hideMark/>
          </w:tcPr>
          <w:p w:rsidR="006B6919" w:rsidRPr="00BD7A33" w:rsidRDefault="006B6919" w:rsidP="007019C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1962-68</w:t>
            </w:r>
          </w:p>
        </w:tc>
        <w:tc>
          <w:tcPr>
            <w:tcW w:w="0" w:type="auto"/>
            <w:hideMark/>
          </w:tcPr>
          <w:p w:rsidR="006B6919" w:rsidRPr="006B6919" w:rsidRDefault="006B6919" w:rsidP="00701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1969-74</w:t>
            </w:r>
          </w:p>
        </w:tc>
        <w:tc>
          <w:tcPr>
            <w:tcW w:w="0" w:type="auto"/>
            <w:hideMark/>
          </w:tcPr>
          <w:p w:rsidR="006B6919" w:rsidRPr="006B6919" w:rsidRDefault="006B6919" w:rsidP="00701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1969-74</w:t>
            </w:r>
          </w:p>
        </w:tc>
        <w:tc>
          <w:tcPr>
            <w:tcW w:w="0" w:type="auto"/>
            <w:hideMark/>
          </w:tcPr>
          <w:p w:rsidR="006B6919" w:rsidRPr="00BD7A33" w:rsidRDefault="006B6919" w:rsidP="00701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1969-74</w:t>
            </w:r>
          </w:p>
        </w:tc>
        <w:tc>
          <w:tcPr>
            <w:tcW w:w="0" w:type="auto"/>
            <w:hideMark/>
          </w:tcPr>
          <w:p w:rsidR="006B6919" w:rsidRPr="006B6919" w:rsidRDefault="006B6919" w:rsidP="00701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1969-74</w:t>
            </w:r>
          </w:p>
        </w:tc>
        <w:tc>
          <w:tcPr>
            <w:tcW w:w="0" w:type="auto"/>
            <w:hideMark/>
          </w:tcPr>
          <w:p w:rsidR="006B6919" w:rsidRPr="006B6919" w:rsidRDefault="006B6919" w:rsidP="007019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1969-74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3х2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3х2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3х2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Масса снаряженная, кг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3230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2955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2740</w:t>
            </w:r>
          </w:p>
        </w:tc>
      </w:tr>
      <w:tr w:rsidR="006B6919" w:rsidRPr="006B6919" w:rsidTr="006B6919">
        <w:trPr>
          <w:trHeight w:val="105"/>
        </w:trPr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3810х2405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 2360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3810х2405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 2360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3935х1970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 2405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3960х1970</w:t>
            </w: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br/>
              <w:t>х2640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3815х1970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х2485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3895х1970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х2489</w:t>
            </w:r>
          </w:p>
        </w:tc>
        <w:tc>
          <w:tcPr>
            <w:tcW w:w="0" w:type="auto"/>
            <w:hideMark/>
          </w:tcPr>
          <w:p w:rsidR="006B6919" w:rsidRPr="00BD7A33" w:rsidRDefault="006B6919" w:rsidP="00BD7A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4040х2326</w:t>
            </w: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br/>
              <w:t>х2660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3895х2326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х2489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3815х2326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х2485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Радиус поворота, мм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Клиренс, мм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Колесная база, мм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2360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2360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н.д.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н.д.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Колея, мм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-/ 1900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-/ 1900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Шины спереди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8,00х20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8,00х20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8,00-20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</w:tr>
      <w:tr w:rsidR="006B6919" w:rsidRPr="006B6919" w:rsidTr="006B6919">
        <w:trPr>
          <w:trHeight w:val="210"/>
        </w:trPr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Шины сзади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Д-50Л/ Д-50М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Д-48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Д-50Л/ Д-50М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</w:tr>
      <w:tr w:rsidR="006B6919" w:rsidRPr="006B6919" w:rsidTr="006B6919">
        <w:trPr>
          <w:trHeight w:val="180"/>
        </w:trPr>
        <w:tc>
          <w:tcPr>
            <w:tcW w:w="0" w:type="auto"/>
            <w:hideMark/>
          </w:tcPr>
          <w:p w:rsidR="006B6919" w:rsidRPr="006B6919" w:rsidRDefault="00372DCE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Раб. объем</w:t>
            </w:r>
            <w:r w:rsidR="006B6919"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 см3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372DCE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Номинал.</w:t>
            </w:r>
            <w:r w:rsidR="006B6919"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 мощность, л.с.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50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372DCE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B6919" w:rsidRPr="006B6919">
              <w:rPr>
                <w:rFonts w:ascii="Times New Roman" w:eastAsia="Times New Roman" w:hAnsi="Times New Roman" w:cs="Times New Roman"/>
                <w:lang w:eastAsia="ru-RU"/>
              </w:rPr>
              <w:t>ередач вперед/ назад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BD7A33" w:rsidRDefault="006B6919" w:rsidP="006B6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BD7A33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</w:tr>
    </w:tbl>
    <w:p w:rsidR="000E5ABB" w:rsidRPr="00D430EC" w:rsidRDefault="000E5ABB" w:rsidP="0095263F">
      <w:pPr>
        <w:spacing w:line="240" w:lineRule="auto"/>
        <w:rPr>
          <w:color w:val="000000" w:themeColor="text1"/>
        </w:rPr>
      </w:pPr>
    </w:p>
    <w:sectPr w:rsidR="000E5ABB" w:rsidRPr="00D430EC" w:rsidSect="00F57482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BE5"/>
    <w:multiLevelType w:val="multilevel"/>
    <w:tmpl w:val="97D2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058C7"/>
    <w:multiLevelType w:val="multilevel"/>
    <w:tmpl w:val="1138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E697A"/>
    <w:multiLevelType w:val="multilevel"/>
    <w:tmpl w:val="9A7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8C"/>
    <w:rsid w:val="00013147"/>
    <w:rsid w:val="000724B1"/>
    <w:rsid w:val="000B486F"/>
    <w:rsid w:val="000C5C54"/>
    <w:rsid w:val="000E5ABB"/>
    <w:rsid w:val="00145122"/>
    <w:rsid w:val="00146CBD"/>
    <w:rsid w:val="001923BE"/>
    <w:rsid w:val="001F01EE"/>
    <w:rsid w:val="00201E91"/>
    <w:rsid w:val="00245765"/>
    <w:rsid w:val="002555CF"/>
    <w:rsid w:val="00280C03"/>
    <w:rsid w:val="00333ACB"/>
    <w:rsid w:val="00372DCE"/>
    <w:rsid w:val="003805E9"/>
    <w:rsid w:val="003A0077"/>
    <w:rsid w:val="003E51C2"/>
    <w:rsid w:val="0041273F"/>
    <w:rsid w:val="0052150E"/>
    <w:rsid w:val="0055238A"/>
    <w:rsid w:val="005717C9"/>
    <w:rsid w:val="00605467"/>
    <w:rsid w:val="0061668C"/>
    <w:rsid w:val="006458D3"/>
    <w:rsid w:val="00672E17"/>
    <w:rsid w:val="006A3F25"/>
    <w:rsid w:val="006B6919"/>
    <w:rsid w:val="007019C2"/>
    <w:rsid w:val="0076636C"/>
    <w:rsid w:val="007A721F"/>
    <w:rsid w:val="00830D1F"/>
    <w:rsid w:val="0083354D"/>
    <w:rsid w:val="00845A5C"/>
    <w:rsid w:val="00846105"/>
    <w:rsid w:val="0086265D"/>
    <w:rsid w:val="00896565"/>
    <w:rsid w:val="008B7CA7"/>
    <w:rsid w:val="008E06B3"/>
    <w:rsid w:val="0095263F"/>
    <w:rsid w:val="009950B3"/>
    <w:rsid w:val="00A87E92"/>
    <w:rsid w:val="00AA00E5"/>
    <w:rsid w:val="00AB6947"/>
    <w:rsid w:val="00AC2E94"/>
    <w:rsid w:val="00B82D11"/>
    <w:rsid w:val="00BD7A33"/>
    <w:rsid w:val="00C117C7"/>
    <w:rsid w:val="00C407F9"/>
    <w:rsid w:val="00C42500"/>
    <w:rsid w:val="00CB463D"/>
    <w:rsid w:val="00CE0821"/>
    <w:rsid w:val="00D04B9A"/>
    <w:rsid w:val="00D430EC"/>
    <w:rsid w:val="00D72116"/>
    <w:rsid w:val="00D91CEB"/>
    <w:rsid w:val="00DA0880"/>
    <w:rsid w:val="00EA2868"/>
    <w:rsid w:val="00EA5D45"/>
    <w:rsid w:val="00ED7EA0"/>
    <w:rsid w:val="00F12EB7"/>
    <w:rsid w:val="00F57482"/>
    <w:rsid w:val="00F74A4E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0EC"/>
    <w:rPr>
      <w:color w:val="0000FF"/>
      <w:u w:val="single"/>
    </w:rPr>
  </w:style>
  <w:style w:type="paragraph" w:customStyle="1" w:styleId="name">
    <w:name w:val="name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D430EC"/>
  </w:style>
  <w:style w:type="paragraph" w:customStyle="1" w:styleId="text">
    <w:name w:val="text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EC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8B7CA7"/>
  </w:style>
  <w:style w:type="table" w:styleId="a7">
    <w:name w:val="Table Grid"/>
    <w:basedOn w:val="a1"/>
    <w:uiPriority w:val="59"/>
    <w:rsid w:val="006B69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0EC"/>
    <w:rPr>
      <w:color w:val="0000FF"/>
      <w:u w:val="single"/>
    </w:rPr>
  </w:style>
  <w:style w:type="paragraph" w:customStyle="1" w:styleId="name">
    <w:name w:val="name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D430EC"/>
  </w:style>
  <w:style w:type="paragraph" w:customStyle="1" w:styleId="text">
    <w:name w:val="text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EC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8B7CA7"/>
  </w:style>
  <w:style w:type="table" w:styleId="a7">
    <w:name w:val="Table Grid"/>
    <w:basedOn w:val="a1"/>
    <w:uiPriority w:val="59"/>
    <w:rsid w:val="006B69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38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861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1%88%D0%BA%D0%B5%D0%BD%D1%82%D1%81%D0%BA%D0%B8%D0%B9_%D1%82%D1%80%D0%B0%D0%BA%D1%82%D0%BE%D1%80%D0%BD%D1%8B%D0%B9_%D0%B7%D0%B0%D0%B2%D0%BE%D0%B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0%B1%D0%B8%D0%BB%D0%B8%D1%81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D5A3-71DA-42D7-8CE7-26480922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2019-09-27T09:24:00Z</dcterms:created>
  <dcterms:modified xsi:type="dcterms:W3CDTF">2019-09-28T12:48:00Z</dcterms:modified>
</cp:coreProperties>
</file>