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60" w:rsidRPr="002D6260" w:rsidRDefault="003668A0" w:rsidP="002D62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95FD019" wp14:editId="0BBF1F7C">
            <wp:simplePos x="0" y="0"/>
            <wp:positionH relativeFrom="margin">
              <wp:posOffset>288925</wp:posOffset>
            </wp:positionH>
            <wp:positionV relativeFrom="margin">
              <wp:posOffset>1034415</wp:posOffset>
            </wp:positionV>
            <wp:extent cx="5737860" cy="33197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0" w:rsidRPr="002D626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04-042 </w:t>
      </w:r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ПАЗ-3237 4х2 </w:t>
      </w:r>
      <w:proofErr w:type="spellStart"/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двухдверный</w:t>
      </w:r>
      <w:proofErr w:type="spellEnd"/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</w:t>
      </w:r>
      <w:proofErr w:type="spellStart"/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полунизкопольный</w:t>
      </w:r>
      <w:proofErr w:type="spellEnd"/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автобус малого класса, мест: сидячих 17, общ. 55, снаряжённый вес 6.48 </w:t>
      </w:r>
      <w:proofErr w:type="spellStart"/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10.22 </w:t>
      </w:r>
      <w:proofErr w:type="spellStart"/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Cummins</w:t>
      </w:r>
      <w:proofErr w:type="spellEnd"/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B3.9-140CIV-1 140 </w:t>
      </w:r>
      <w:proofErr w:type="spellStart"/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80 км/час, первый выпуск</w:t>
      </w:r>
      <w:r w:rsid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D6260" w:rsidRPr="002D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 экз., г. Павлово-на-Оке 2003-05 г.</w:t>
      </w:r>
    </w:p>
    <w:p w:rsidR="002D6260" w:rsidRDefault="002D6260" w:rsidP="00A31C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11" w:rsidRDefault="002D6260" w:rsidP="00A31C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C11" w:rsidRPr="00A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2002 году Павловский автобусный завод </w:t>
      </w:r>
      <w:r w:rsidR="00A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 свой самый первый </w:t>
      </w:r>
      <w:proofErr w:type="spellStart"/>
      <w:r w:rsidR="003779DA" w:rsidRPr="0037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="00A31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</w:t>
      </w:r>
      <w:r w:rsidR="00A31C11" w:rsidRPr="00A31C1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</w:t>
      </w:r>
      <w:proofErr w:type="spellEnd"/>
      <w:r w:rsidR="00A31C11" w:rsidRPr="00A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малого класса в истории. Это </w:t>
      </w:r>
      <w:r w:rsidR="00A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A31C11" w:rsidRPr="00A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ПАЗ-3237, или «Лужок». </w:t>
      </w:r>
      <w:r w:rsidR="00190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широко использовал</w:t>
      </w:r>
      <w:r w:rsidR="00190F4A" w:rsidRPr="00190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как на городских маршрутах</w:t>
      </w:r>
      <w:r w:rsidR="000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C" w:rsidRPr="00001D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малым пассажиропотоком</w:t>
      </w:r>
      <w:r w:rsidR="00190F4A" w:rsidRPr="00190F4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для заказных перевозок.</w:t>
      </w:r>
    </w:p>
    <w:p w:rsidR="00A14366" w:rsidRPr="00A14366" w:rsidRDefault="008F5202" w:rsidP="00A14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366"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столь нетипичного автобуса в линейке завода обусловлено</w:t>
      </w:r>
    </w:p>
    <w:p w:rsidR="008F5202" w:rsidRDefault="00A14366" w:rsidP="00A14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крупным столичным заказом, поступившим в 2001 году: правительству Москвы был необходим компактный </w:t>
      </w:r>
      <w:proofErr w:type="spellStart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низкопольный</w:t>
      </w:r>
      <w:proofErr w:type="spellEnd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с </w:t>
      </w:r>
      <w:proofErr w:type="spellStart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для обслуживания маршрутов внутри Садового кольца.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 России подходящей агрегатной базы для постройки автобуса такого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не существовало, «</w:t>
      </w:r>
      <w:proofErr w:type="spellStart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пазовцы</w:t>
      </w:r>
      <w:proofErr w:type="spellEnd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начали зондировать рынок в поисках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возможного зарубежного поставщика. Практически готовое решение им смогли предложить в российском представительстве венгерской фирмы </w:t>
      </w:r>
      <w:proofErr w:type="spellStart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>Raba</w:t>
      </w:r>
      <w:proofErr w:type="spellEnd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>Futymu</w:t>
      </w:r>
      <w:proofErr w:type="spellEnd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>Kft</w:t>
      </w:r>
      <w:proofErr w:type="spellEnd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только освоившей выпуск агрегатов ходовой части для автобуса </w:t>
      </w:r>
      <w:proofErr w:type="spellStart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A1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EAG серии Е91</w:t>
      </w:r>
      <w:r w:rsidR="002E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246A" w:rsidRPr="002E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Перспективной машине решено было присвоить официально выданный несколько лет назад, но так и не реализованный прежде индекс «3237». В феврале 2003 года экспериментальный цех приступил к постройке первого опытного образца, и уже 30 марта состоялась его презентация. По габаритам и компоновке ПАЗ-3237 практически полностью повторял тот же </w:t>
      </w:r>
      <w:proofErr w:type="spellStart"/>
      <w:r w:rsidR="002E246A" w:rsidRPr="002E246A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2E246A" w:rsidRPr="002E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EAG Е91: это был заднемоторный автобус длиной 7,75 м с низким уровнем пола от передней площадки до заднего моста и двумя служебными дверьми</w:t>
      </w:r>
      <w:r w:rsidR="002E2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4B5" w:rsidRDefault="009A64B5" w:rsidP="009A64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кузов по целому ряду элементов (каркас, крыша, передняя и задняя маски, остекление) был унифицирован с кузовом серийного длинномера» ПАЗ-5272, что значительно удешевляло подготовку производства. В салоне были установлены 16 сидений, 13 из которых размещались на подиумах в задней части салона с более высоким уровнем пола. Три других кресла были смонтированы на передних колесных арках. Напротив задней двери предусматривалась просторная накопительная площадка, способная вместить детскую коляску или инвалидное </w:t>
      </w:r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кресло. Общая же вместимость автобуса составляла 54 пассажира при полной массе 9,5 т. В роли силового агрегата на ПАЗ-3237 выступали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150-сильный дизель </w:t>
      </w:r>
      <w:proofErr w:type="spellStart"/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>ISBe</w:t>
      </w:r>
      <w:proofErr w:type="spellEnd"/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150.30 уровня Евро-3 и 6-ступенчатая механическая коробка передач </w:t>
      </w:r>
      <w:proofErr w:type="spellStart"/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>Praga</w:t>
      </w:r>
      <w:proofErr w:type="spellEnd"/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6PS51. Ходовая часть автобуса включала в себя рулевое управление фирмы </w:t>
      </w:r>
      <w:proofErr w:type="spellStart"/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>Csepel</w:t>
      </w:r>
      <w:proofErr w:type="spellEnd"/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мосты </w:t>
      </w:r>
      <w:proofErr w:type="spellStart"/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>Raba</w:t>
      </w:r>
      <w:proofErr w:type="spellEnd"/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17,5-дюймовыми колесами, 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пневматической подвеской (спереди -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зависимая) и дисковыми тормоза</w:t>
      </w:r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>Knorr-Bremse</w:t>
      </w:r>
      <w:proofErr w:type="spellEnd"/>
      <w:r w:rsidR="007F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пневматическими приводами.</w:t>
      </w:r>
      <w:r w:rsidR="007F0C47" w:rsidRPr="0091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комплектацию </w:t>
      </w:r>
      <w:r w:rsidR="007F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вошла и </w:t>
      </w:r>
      <w:r w:rsidR="007F0C47" w:rsidRPr="0091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ABS.</w:t>
      </w:r>
      <w:r w:rsidRPr="009A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E3983" w:rsidRDefault="001E3983" w:rsidP="001E39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опытный образец ПАЗ-3237 отличался от всех последующих автобусов опытной серии оригинальной панелью приборов и отсутствием бокового ограждения в кабине. Кроме того, в передней (</w:t>
      </w:r>
      <w:proofErr w:type="spellStart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низкопольной</w:t>
      </w:r>
      <w:proofErr w:type="spellEnd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части его салона располагались лишь три </w:t>
      </w:r>
      <w:proofErr w:type="spellStart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</w:t>
      </w:r>
      <w:proofErr w:type="gramStart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proofErr w:type="gramEnd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сиденья, которые были смонтированы на колесных </w:t>
      </w:r>
      <w:proofErr w:type="spellStart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аркax</w:t>
      </w:r>
      <w:proofErr w:type="spellEnd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хода движения, А вот планировка задней (</w:t>
      </w:r>
      <w:proofErr w:type="spellStart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высокопольной</w:t>
      </w:r>
      <w:proofErr w:type="spellEnd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) части салона впоследствии изменениям не подвергалась.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Построенные следом образцы «</w:t>
      </w:r>
      <w:proofErr w:type="spellStart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низкопольников</w:t>
      </w:r>
      <w:proofErr w:type="spellEnd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получили ряд нововведений как в плане дизайна, гак и в технической начинке. В соответствии с пожеланием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- ГУП «</w:t>
      </w:r>
      <w:proofErr w:type="spellStart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Мосгортранс</w:t>
      </w:r>
      <w:proofErr w:type="spellEnd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был внедрен новый вариант передней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задней масок кузова, выполненных теперь в стиле большого городского автобуса ЛиАЗ-5292. Колесные арки обрели округлую форму. В кабине водителя появились полностью новая панель приборов и частичное ограждение с правой стороны. 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в салоне удалось увеличить до 17/55 за счет смещения второй двери и перепланировки пространства у правой передней колесной арки - там удалось разместить еще одно пассажирское кресло. </w:t>
      </w:r>
      <w:proofErr w:type="gramStart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Подвергся пересмотру и силовой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агрегат: теперь в моторном отсеке прописался менее дорогой дизель </w:t>
      </w:r>
      <w:proofErr w:type="spellStart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ВЗ.9-140 уровня Евро-2, состыкованный не с механической, а с более подходящей для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мегаполиса 2-ступенчатой автоматической коробкой передач «Львов-2» модели 224.17 украинского производства.</w:t>
      </w:r>
      <w:proofErr w:type="gramEnd"/>
      <w:r w:rsidR="0024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E94" w:rsidRPr="0024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был проработан вариант использования более современной 5-ступенчатой автоматической коробки </w:t>
      </w:r>
      <w:proofErr w:type="spellStart"/>
      <w:r w:rsidR="00242E94" w:rsidRPr="00242E94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="00242E94" w:rsidRPr="0024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2000. Именно в ее пользу сделал выбор столичный заказчик, а потому такая комплектация в итоге и стала базовой для автобусов серии ПАЗ-3237. В общей сложности на московские маршруты вышло 12 </w:t>
      </w:r>
      <w:proofErr w:type="spellStart"/>
      <w:r w:rsidR="00242E94" w:rsidRPr="00242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низкопольных</w:t>
      </w:r>
      <w:proofErr w:type="spellEnd"/>
      <w:r w:rsidR="00242E94" w:rsidRPr="0024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42E94" w:rsidRPr="00242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пазиков</w:t>
      </w:r>
      <w:proofErr w:type="spellEnd"/>
      <w:r w:rsidR="00242E94" w:rsidRPr="00242E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первой генерации, а их общий тираж составил 21 штуку с учетом всех опытных и товарных образцов, собранных с 2003 по 2005 годы.</w:t>
      </w:r>
    </w:p>
    <w:p w:rsidR="00657C9C" w:rsidRDefault="00242E94" w:rsidP="002B20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автобус оснащен</w:t>
      </w:r>
      <w:r w:rsidRPr="002B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несущим кузовом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вагонной компоновки</w:t>
      </w:r>
      <w:r w:rsidRPr="002B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применению</w:t>
      </w:r>
      <w:r w:rsidRPr="002B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 самых современных технологий, инноваций в окраске и обработке антикоррозийными составами, а также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пециальным инженерным решениям,</w:t>
      </w:r>
      <w:r w:rsidRPr="002B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 рассчитан на срок службы до 8-ми лет. </w:t>
      </w:r>
      <w:r w:rsidR="00A31C11" w:rsidRPr="00A31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Пневматическая подвеска позволила сделать высадку и посадку пассажиров</w:t>
      </w:r>
      <w:r w:rsidR="0022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</w:t>
      </w:r>
      <w:r w:rsidR="00A31C11" w:rsidRPr="00A3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Благодаря такой системе стало возможным уменьшать клиренс тогда, когда автобус стоит на остановке для высадки. Комфорту пассажиров также способствуют широкие двери. </w:t>
      </w:r>
      <w:r w:rsidR="0091670D" w:rsidRPr="0091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Вентиляция осуществляется естественным путем при помощи открывающихся боковых окон и люков. Система отопления салона - воздушная с принудительной циркуляцией горячего воздуха. Воздух прогревается при помощи системы охлаждения двигателя и автономного </w:t>
      </w:r>
      <w:proofErr w:type="spellStart"/>
      <w:r w:rsidR="0091670D" w:rsidRPr="00916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="0091670D" w:rsidRPr="0091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670D" w:rsidRPr="0091670D">
        <w:rPr>
          <w:rFonts w:ascii="Times New Roman" w:eastAsia="Times New Roman" w:hAnsi="Times New Roman" w:cs="Times New Roman"/>
          <w:sz w:val="24"/>
          <w:szCs w:val="24"/>
          <w:lang w:eastAsia="ru-RU"/>
        </w:rPr>
        <w:t>Webasto</w:t>
      </w:r>
      <w:proofErr w:type="spellEnd"/>
      <w:r w:rsidR="0091670D" w:rsidRPr="0091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DBW мощностью 300,3 киловатт. </w:t>
      </w:r>
      <w:r w:rsidR="002E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04E" w:rsidRDefault="00C20F24" w:rsidP="002B20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C9C" w:rsidRPr="0065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оснащается четырехцилиндровым рядным дизельным двигателем </w:t>
      </w:r>
      <w:proofErr w:type="spellStart"/>
      <w:r w:rsidR="00657C9C" w:rsidRPr="00657C9C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657C9C" w:rsidRPr="0065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B3.9-140 CIV-1 с максимальной рабочей мощностью 140 лошадиных сил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C9C" w:rsidRPr="00657C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7C9C" w:rsidRPr="0065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вращения 2500 оборотов в минуту. Максимальный крутящий момент достигается при частоте вращения 1500 оборотов в минуту и составляет 502 Н*м. Двигатель соответствует международным нормам экологических стандартов EURO-2. Рабочий объем силового агрегата - 3,9 литров. Мотор оснащен </w:t>
      </w:r>
      <w:proofErr w:type="spellStart"/>
      <w:r w:rsidR="00657C9C" w:rsidRPr="00657C9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57C9C" w:rsidRPr="0065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предварительным охлаждением поступающего воздушного потока. Расход топлива </w:t>
      </w:r>
      <w:proofErr w:type="gramStart"/>
      <w:r w:rsidR="00657C9C" w:rsidRPr="00657C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57C9C" w:rsidRPr="0065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7C9C" w:rsidRPr="00657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</w:t>
      </w:r>
      <w:proofErr w:type="gramEnd"/>
      <w:r w:rsidR="00657C9C" w:rsidRPr="0065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3237 в смешанном цикле при полной загрузке составляет 18 литров на 100 километров.</w:t>
      </w:r>
      <w:r w:rsidR="002B204E" w:rsidRPr="002B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9DA" w:rsidRDefault="0091670D" w:rsidP="002B20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1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заправочного бака равен 140 литрам. Максимальная скорость движения автобуса - 80 км/ч. </w:t>
      </w:r>
      <w:r w:rsidR="007F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9DA" w:rsidRDefault="000D0919" w:rsidP="00377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9DA" w:rsidRPr="00377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2005 году в Павл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ово-На-Оке была проведена модер</w:t>
      </w:r>
      <w:r w:rsidR="003779DA" w:rsidRPr="0037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автобуса ПАЗ-3237.</w:t>
      </w:r>
      <w:r w:rsidR="00CF61D5" w:rsidRPr="00CF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получил прямоугольные фары, новую цветовую схему, улучшенные сиденья. С это</w:t>
      </w:r>
      <w:r w:rsidR="00657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момента</w:t>
      </w:r>
      <w:r w:rsidR="00CF61D5" w:rsidRPr="00CF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по заказам выпускалось 5 модификаций ПАЗ-3237, различавшихся моделями и экологическим классом применяемых двигателей </w:t>
      </w:r>
      <w:proofErr w:type="spellStart"/>
      <w:r w:rsidR="00CF61D5" w:rsidRPr="00CF61D5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CF61D5" w:rsidRPr="00CF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ПАЗ-3237-01, 3237-03, 3237-05, 3237-09, 3237-11. </w:t>
      </w:r>
      <w:r w:rsidR="00C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475" w:rsidRDefault="00476475" w:rsidP="00377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75" w:rsidRPr="00476475" w:rsidRDefault="00476475" w:rsidP="004764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Руководящий документ: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 4517-014-73935081-2005</w:t>
      </w:r>
    </w:p>
    <w:p w:rsidR="00476475" w:rsidRPr="00476475" w:rsidRDefault="00476475" w:rsidP="00476475">
      <w:pPr>
        <w:tabs>
          <w:tab w:val="right" w:leader="dot" w:pos="31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Компоновка: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заднемоторная</w:t>
      </w:r>
    </w:p>
    <w:p w:rsidR="00476475" w:rsidRPr="00476475" w:rsidRDefault="00476475" w:rsidP="00476475">
      <w:pPr>
        <w:tabs>
          <w:tab w:val="left" w:leader="dot" w:pos="135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Кузов: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вагонного типа, несущий, металлический, с пластиковыми масками</w:t>
      </w:r>
    </w:p>
    <w:p w:rsidR="00476475" w:rsidRPr="00476475" w:rsidRDefault="00476475" w:rsidP="00476475">
      <w:pPr>
        <w:tabs>
          <w:tab w:val="right" w:leader="dot" w:pos="31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дверей: 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</w:p>
    <w:p w:rsidR="00476475" w:rsidRPr="00476475" w:rsidRDefault="00476475" w:rsidP="00476475">
      <w:pPr>
        <w:tabs>
          <w:tab w:val="right" w:leader="dot" w:pos="31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мест: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17/55</w:t>
      </w:r>
    </w:p>
    <w:p w:rsidR="00476475" w:rsidRPr="00476475" w:rsidRDefault="00476475" w:rsidP="004764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7885x2505x2815</w:t>
      </w:r>
    </w:p>
    <w:p w:rsidR="00476475" w:rsidRPr="00476475" w:rsidRDefault="00476475" w:rsidP="00476475">
      <w:pPr>
        <w:tabs>
          <w:tab w:val="right" w:leader="dot" w:pos="3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База, </w:t>
      </w: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3650</w:t>
      </w:r>
    </w:p>
    <w:p w:rsidR="00476475" w:rsidRPr="00476475" w:rsidRDefault="00476475" w:rsidP="00476475">
      <w:pPr>
        <w:tabs>
          <w:tab w:val="left" w:leader="dot" w:pos="23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Колея, </w:t>
      </w: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2065 / 1800</w:t>
      </w:r>
    </w:p>
    <w:p w:rsidR="00476475" w:rsidRPr="00476475" w:rsidRDefault="00476475" w:rsidP="00476475">
      <w:pPr>
        <w:tabs>
          <w:tab w:val="right" w:leader="dot" w:pos="3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поворота, </w:t>
      </w: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7,2</w:t>
      </w:r>
    </w:p>
    <w:p w:rsidR="00476475" w:rsidRPr="00476475" w:rsidRDefault="00476475" w:rsidP="00476475">
      <w:pPr>
        <w:tabs>
          <w:tab w:val="right" w:leader="dot" w:pos="3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масса, </w:t>
      </w: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6480</w:t>
      </w:r>
    </w:p>
    <w:p w:rsidR="00476475" w:rsidRPr="00476475" w:rsidRDefault="00476475" w:rsidP="00476475">
      <w:pPr>
        <w:tabs>
          <w:tab w:val="left" w:leader="dot" w:pos="268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масса, </w:t>
      </w: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10 220</w:t>
      </w:r>
    </w:p>
    <w:p w:rsidR="00476475" w:rsidRPr="00476475" w:rsidRDefault="00476475" w:rsidP="00476475">
      <w:pPr>
        <w:tabs>
          <w:tab w:val="right" w:leader="dot" w:pos="314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/ч: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80</w:t>
      </w:r>
    </w:p>
    <w:p w:rsidR="00476475" w:rsidRPr="00476475" w:rsidRDefault="00476475" w:rsidP="00C23D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расхода топлива</w:t>
      </w:r>
      <w:r w:rsidR="00C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60 км/ч, л/100 км: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</w:t>
      </w:r>
    </w:p>
    <w:p w:rsidR="00476475" w:rsidRPr="00476475" w:rsidRDefault="00476475" w:rsidP="00476475">
      <w:pPr>
        <w:tabs>
          <w:tab w:val="left" w:leader="dot" w:pos="15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Двигатель: 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CmnminsB3.9 140CIV-1 (</w:t>
      </w:r>
      <w:proofErr w:type="spell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турбодизельный</w:t>
      </w:r>
      <w:proofErr w:type="spell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Р-4) Рабочий объем, </w:t>
      </w: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: 3,92</w:t>
      </w:r>
    </w:p>
    <w:p w:rsidR="00476475" w:rsidRPr="00476475" w:rsidRDefault="00476475" w:rsidP="00476475">
      <w:pPr>
        <w:tabs>
          <w:tab w:val="left" w:leader="dot" w:pos="15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</w:t>
      </w:r>
      <w:proofErr w:type="spell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140 при 2700 </w:t>
      </w: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476475" w:rsidRPr="00476475" w:rsidRDefault="00476475" w:rsidP="004764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Крутящий момент, </w:t>
      </w:r>
      <w:proofErr w:type="spell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502 при 1500 </w:t>
      </w: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476475" w:rsidRPr="00476475" w:rsidRDefault="00476475" w:rsidP="00476475">
      <w:pPr>
        <w:tabs>
          <w:tab w:val="right" w:leader="dot" w:pos="338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класс: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</w:p>
    <w:p w:rsidR="00476475" w:rsidRPr="00476475" w:rsidRDefault="00476475" w:rsidP="00476475">
      <w:pPr>
        <w:tabs>
          <w:tab w:val="right" w:leader="dot" w:pos="338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Задний мост: 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Raba A360</w:t>
      </w:r>
    </w:p>
    <w:p w:rsidR="00476475" w:rsidRPr="00476475" w:rsidRDefault="00476475" w:rsidP="00476475">
      <w:pPr>
        <w:tabs>
          <w:tab w:val="right" w:leader="dot" w:pos="33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ГП: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5,28</w:t>
      </w:r>
    </w:p>
    <w:p w:rsidR="00476475" w:rsidRPr="00476475" w:rsidRDefault="00476475" w:rsidP="00476475">
      <w:pPr>
        <w:tabs>
          <w:tab w:val="right" w:leader="dot" w:pos="338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шин: 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235/75R17.5</w:t>
      </w:r>
    </w:p>
    <w:p w:rsidR="00476475" w:rsidRPr="00476475" w:rsidRDefault="00476475" w:rsidP="00476475">
      <w:pPr>
        <w:tabs>
          <w:tab w:val="left" w:leader="dot" w:pos="15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Подвеска: 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передняя - независимая, пневматическая, с 2 амортизаторами,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задняя - зависимая, пневматическая, с 4 амортизаторами и стабилизатором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Рулевой механизм: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Csepel</w:t>
      </w:r>
      <w:proofErr w:type="spell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А-300.92-3520-000, с гидроусилителем</w:t>
      </w:r>
    </w:p>
    <w:p w:rsidR="00476475" w:rsidRPr="00476475" w:rsidRDefault="00476475" w:rsidP="00476475">
      <w:pPr>
        <w:tabs>
          <w:tab w:val="left" w:leader="dot" w:pos="124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Тормоза: 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рабочие - дисковые на всех колесах, с </w:t>
      </w: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раздельным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ABS; стояночный - пружинные </w:t>
      </w:r>
      <w:proofErr w:type="spell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-аккумуляторы на задних колесах</w:t>
      </w:r>
    </w:p>
    <w:p w:rsidR="00476475" w:rsidRPr="00476475" w:rsidRDefault="00476475" w:rsidP="004764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топливного бака, </w:t>
      </w:r>
      <w:proofErr w:type="gram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105 (дизтопливо)</w:t>
      </w:r>
    </w:p>
    <w:p w:rsidR="00C23D64" w:rsidRDefault="00476475" w:rsidP="00C23D64">
      <w:pPr>
        <w:tabs>
          <w:tab w:val="left" w:pos="20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КП «Львов-2» мод. 224 17 2-ступенчатая</w:t>
      </w:r>
      <w:r w:rsidR="00C2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</w:p>
    <w:p w:rsidR="00476475" w:rsidRPr="00476475" w:rsidRDefault="00476475" w:rsidP="00C23D64">
      <w:pPr>
        <w:tabs>
          <w:tab w:val="left" w:pos="20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4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автоматическая, автоматическая, 5-ступенчатая </w:t>
      </w:r>
    </w:p>
    <w:p w:rsidR="00476475" w:rsidRPr="002B204E" w:rsidRDefault="00476475" w:rsidP="00377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4E" w:rsidRDefault="003668A0" w:rsidP="00A31C1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E1125C3" wp14:editId="52E29D27">
            <wp:simplePos x="0" y="0"/>
            <wp:positionH relativeFrom="margin">
              <wp:posOffset>523240</wp:posOffset>
            </wp:positionH>
            <wp:positionV relativeFrom="margin">
              <wp:posOffset>7466965</wp:posOffset>
            </wp:positionV>
            <wp:extent cx="5117465" cy="2024380"/>
            <wp:effectExtent l="0" t="0" r="6985" b="0"/>
            <wp:wrapSquare wrapText="bothSides"/>
            <wp:docPr id="4" name="Рисунок 4" descr="C:\T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A0" w:rsidRDefault="003668A0" w:rsidP="00A31C11">
      <w:pPr>
        <w:rPr>
          <w:noProof/>
          <w:lang w:eastAsia="ru-RU"/>
        </w:rPr>
      </w:pPr>
    </w:p>
    <w:p w:rsidR="003668A0" w:rsidRDefault="003668A0" w:rsidP="00A31C11">
      <w:pPr>
        <w:rPr>
          <w:noProof/>
          <w:lang w:eastAsia="ru-RU"/>
        </w:rPr>
      </w:pPr>
    </w:p>
    <w:p w:rsidR="003668A0" w:rsidRDefault="003668A0" w:rsidP="00A31C11">
      <w:pPr>
        <w:rPr>
          <w:noProof/>
          <w:lang w:eastAsia="ru-RU"/>
        </w:rPr>
      </w:pPr>
    </w:p>
    <w:p w:rsidR="003668A0" w:rsidRPr="00A31C11" w:rsidRDefault="003668A0" w:rsidP="00A31C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D4B2404" wp14:editId="66B17BE7">
            <wp:simplePos x="0" y="0"/>
            <wp:positionH relativeFrom="margin">
              <wp:posOffset>458470</wp:posOffset>
            </wp:positionH>
            <wp:positionV relativeFrom="margin">
              <wp:posOffset>-145415</wp:posOffset>
            </wp:positionV>
            <wp:extent cx="5123815" cy="2425700"/>
            <wp:effectExtent l="0" t="0" r="635" b="0"/>
            <wp:wrapSquare wrapText="bothSides"/>
            <wp:docPr id="5" name="Рисунок 5" descr="C:\T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C11" w:rsidRPr="00A31C11" w:rsidRDefault="00A31C11" w:rsidP="00A31C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11" w:rsidRPr="00A31C11" w:rsidRDefault="00A31C11" w:rsidP="00A31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p w:rsidR="003668A0" w:rsidRDefault="003668A0"/>
    <w:p w:rsidR="003668A0" w:rsidRDefault="003668A0"/>
    <w:p w:rsidR="003668A0" w:rsidRDefault="003668A0"/>
    <w:p w:rsidR="003668A0" w:rsidRDefault="003668A0"/>
    <w:p w:rsidR="003668A0" w:rsidRDefault="003668A0"/>
    <w:p w:rsidR="003668A0" w:rsidRDefault="003668A0"/>
    <w:p w:rsidR="003668A0" w:rsidRDefault="003668A0"/>
    <w:p w:rsidR="003668A0" w:rsidRDefault="003668A0"/>
    <w:p w:rsidR="003668A0" w:rsidRDefault="003668A0"/>
    <w:p w:rsidR="003668A0" w:rsidRDefault="003668A0"/>
    <w:p w:rsidR="003668A0" w:rsidRDefault="003668A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E2ADF5D" wp14:editId="6DC7BBEA">
            <wp:simplePos x="0" y="0"/>
            <wp:positionH relativeFrom="margin">
              <wp:posOffset>1477645</wp:posOffset>
            </wp:positionH>
            <wp:positionV relativeFrom="margin">
              <wp:posOffset>2870835</wp:posOffset>
            </wp:positionV>
            <wp:extent cx="3065145" cy="3463290"/>
            <wp:effectExtent l="0" t="0" r="1905" b="3810"/>
            <wp:wrapSquare wrapText="bothSides"/>
            <wp:docPr id="6" name="Рисунок 6" descr="C:\T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68A0" w:rsidRDefault="003668A0"/>
    <w:sectPr w:rsidR="003668A0" w:rsidSect="00DB4F80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8A"/>
    <w:rsid w:val="00001D3C"/>
    <w:rsid w:val="00016ADC"/>
    <w:rsid w:val="000D0919"/>
    <w:rsid w:val="000E5ABB"/>
    <w:rsid w:val="00117F77"/>
    <w:rsid w:val="00190F4A"/>
    <w:rsid w:val="001E3983"/>
    <w:rsid w:val="00227B90"/>
    <w:rsid w:val="00242E94"/>
    <w:rsid w:val="002B204E"/>
    <w:rsid w:val="002D6260"/>
    <w:rsid w:val="002E246A"/>
    <w:rsid w:val="003668A0"/>
    <w:rsid w:val="003779DA"/>
    <w:rsid w:val="00391557"/>
    <w:rsid w:val="00476475"/>
    <w:rsid w:val="0052150E"/>
    <w:rsid w:val="00657C9C"/>
    <w:rsid w:val="00661F57"/>
    <w:rsid w:val="007F0C47"/>
    <w:rsid w:val="00813C3B"/>
    <w:rsid w:val="008F5202"/>
    <w:rsid w:val="0091670D"/>
    <w:rsid w:val="009A64B5"/>
    <w:rsid w:val="00A14366"/>
    <w:rsid w:val="00A31C11"/>
    <w:rsid w:val="00C20F24"/>
    <w:rsid w:val="00C23D64"/>
    <w:rsid w:val="00CF61D5"/>
    <w:rsid w:val="00D73F8A"/>
    <w:rsid w:val="00D96149"/>
    <w:rsid w:val="00D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C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C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C:\Tmp\FineReader12.00\media\image3.jp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file:///C:\Tmp\FineReader12.00\media\image1.jpe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file:///C:\T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2019-06-30T11:38:00Z</dcterms:created>
  <dcterms:modified xsi:type="dcterms:W3CDTF">2019-06-30T17:08:00Z</dcterms:modified>
</cp:coreProperties>
</file>