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DD" w:rsidRPr="004E6CDD" w:rsidRDefault="00041E56" w:rsidP="004E6CDD">
      <w:pPr>
        <w:pStyle w:val="el-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04-1</w:t>
      </w:r>
      <w:r w:rsidRPr="00041E56">
        <w:rPr>
          <w:b/>
          <w:color w:val="C00000"/>
          <w:sz w:val="28"/>
          <w:szCs w:val="28"/>
        </w:rPr>
        <w:t>59</w:t>
      </w:r>
      <w:r w:rsidRPr="00041E56">
        <w:rPr>
          <w:b/>
          <w:sz w:val="28"/>
          <w:szCs w:val="28"/>
        </w:rPr>
        <w:t xml:space="preserve"> Икарус, 4х2 </w:t>
      </w:r>
      <w:proofErr w:type="spellStart"/>
      <w:r w:rsidRPr="00041E56">
        <w:rPr>
          <w:b/>
          <w:sz w:val="28"/>
          <w:szCs w:val="28"/>
        </w:rPr>
        <w:t>однодверный</w:t>
      </w:r>
      <w:proofErr w:type="spellEnd"/>
      <w:r w:rsidRPr="00041E56">
        <w:rPr>
          <w:b/>
          <w:sz w:val="28"/>
          <w:szCs w:val="28"/>
        </w:rPr>
        <w:t xml:space="preserve"> </w:t>
      </w:r>
      <w:proofErr w:type="spellStart"/>
      <w:r w:rsidRPr="00041E56">
        <w:rPr>
          <w:b/>
          <w:sz w:val="28"/>
          <w:szCs w:val="28"/>
        </w:rPr>
        <w:t>высокопольный</w:t>
      </w:r>
      <w:proofErr w:type="spellEnd"/>
      <w:r w:rsidRPr="00041E56">
        <w:rPr>
          <w:b/>
          <w:sz w:val="28"/>
          <w:szCs w:val="28"/>
        </w:rPr>
        <w:t xml:space="preserve"> междугородный автобус, мест сидячих 52/45/53, багажный отсек 2х5.3 м3 1.15 </w:t>
      </w:r>
      <w:proofErr w:type="spellStart"/>
      <w:r w:rsidRPr="00041E56">
        <w:rPr>
          <w:b/>
          <w:sz w:val="28"/>
          <w:szCs w:val="28"/>
        </w:rPr>
        <w:t>тн</w:t>
      </w:r>
      <w:proofErr w:type="spellEnd"/>
      <w:r w:rsidRPr="00041E56">
        <w:rPr>
          <w:b/>
          <w:sz w:val="28"/>
          <w:szCs w:val="28"/>
        </w:rPr>
        <w:t xml:space="preserve">, снаряженный вес 11 </w:t>
      </w:r>
      <w:proofErr w:type="spellStart"/>
      <w:r w:rsidRPr="00041E56">
        <w:rPr>
          <w:b/>
          <w:sz w:val="28"/>
          <w:szCs w:val="28"/>
        </w:rPr>
        <w:t>тн</w:t>
      </w:r>
      <w:proofErr w:type="spellEnd"/>
      <w:r w:rsidRPr="00041E56">
        <w:rPr>
          <w:b/>
          <w:sz w:val="28"/>
          <w:szCs w:val="28"/>
        </w:rPr>
        <w:t xml:space="preserve">, полный вес 16 </w:t>
      </w:r>
      <w:proofErr w:type="spellStart"/>
      <w:r w:rsidRPr="00041E56">
        <w:rPr>
          <w:b/>
          <w:sz w:val="28"/>
          <w:szCs w:val="28"/>
        </w:rPr>
        <w:t>тн</w:t>
      </w:r>
      <w:proofErr w:type="spellEnd"/>
      <w:r w:rsidRPr="00041E56">
        <w:rPr>
          <w:b/>
          <w:sz w:val="28"/>
          <w:szCs w:val="28"/>
        </w:rPr>
        <w:t xml:space="preserve">, </w:t>
      </w:r>
      <w:proofErr w:type="spellStart"/>
      <w:r w:rsidRPr="00041E56">
        <w:rPr>
          <w:b/>
          <w:sz w:val="28"/>
          <w:szCs w:val="28"/>
        </w:rPr>
        <w:t>Raba</w:t>
      </w:r>
      <w:proofErr w:type="spellEnd"/>
      <w:r w:rsidRPr="00041E56">
        <w:rPr>
          <w:b/>
          <w:sz w:val="28"/>
          <w:szCs w:val="28"/>
        </w:rPr>
        <w:t xml:space="preserve">-M.A.N. D2156HM6U 192 </w:t>
      </w:r>
      <w:proofErr w:type="spellStart"/>
      <w:r w:rsidRPr="00041E56">
        <w:rPr>
          <w:b/>
          <w:sz w:val="28"/>
          <w:szCs w:val="28"/>
        </w:rPr>
        <w:t>лс</w:t>
      </w:r>
      <w:proofErr w:type="spellEnd"/>
      <w:r w:rsidRPr="00041E56">
        <w:rPr>
          <w:b/>
          <w:sz w:val="28"/>
          <w:szCs w:val="28"/>
        </w:rPr>
        <w:t xml:space="preserve">, 106 км/час, 3168 экз., Венгрия 1968-76 г.  </w:t>
      </w:r>
    </w:p>
    <w:p w:rsidR="004E6CDD" w:rsidRDefault="005357DE" w:rsidP="004E6CDD">
      <w:pPr>
        <w:pStyle w:val="el-text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BED6B" wp14:editId="7AB019C1">
            <wp:simplePos x="0" y="0"/>
            <wp:positionH relativeFrom="margin">
              <wp:posOffset>342900</wp:posOffset>
            </wp:positionH>
            <wp:positionV relativeFrom="margin">
              <wp:posOffset>885825</wp:posOffset>
            </wp:positionV>
            <wp:extent cx="5589905" cy="3399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7DE" w:rsidRPr="00562796" w:rsidRDefault="004E6CDD" w:rsidP="004E6CDD">
      <w:pPr>
        <w:pStyle w:val="el-text"/>
        <w:spacing w:before="0" w:beforeAutospacing="0" w:after="0" w:afterAutospacing="0"/>
      </w:pPr>
      <w:r>
        <w:t xml:space="preserve"> </w:t>
      </w: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5357DE" w:rsidRPr="00562796" w:rsidRDefault="005357DE" w:rsidP="004E6CDD">
      <w:pPr>
        <w:pStyle w:val="el-text"/>
        <w:spacing w:before="0" w:beforeAutospacing="0" w:after="0" w:afterAutospacing="0"/>
      </w:pPr>
    </w:p>
    <w:p w:rsidR="00F02D5A" w:rsidRDefault="00F02D5A" w:rsidP="004E6CDD">
      <w:pPr>
        <w:pStyle w:val="el-text"/>
        <w:spacing w:before="0" w:beforeAutospacing="0" w:after="0" w:afterAutospacing="0"/>
      </w:pPr>
      <w:r>
        <w:t xml:space="preserve">Икарус 250 — </w:t>
      </w:r>
      <w:proofErr w:type="spellStart"/>
      <w:r>
        <w:t>высокопольный</w:t>
      </w:r>
      <w:proofErr w:type="spellEnd"/>
      <w:r>
        <w:t xml:space="preserve"> междугородный автобус, производившийся в Венгрии с 1971 по 2003 год. </w:t>
      </w:r>
      <w:proofErr w:type="spellStart"/>
      <w:r>
        <w:t>Ikarus</w:t>
      </w:r>
      <w:proofErr w:type="spellEnd"/>
      <w:r>
        <w:t xml:space="preserve"> 250 по праву считается флагманом всего «200-го» семейства «Икарусов». Первый опытный экземпляр «250-й» модели был собран 1-го мая 1967 года.</w:t>
      </w:r>
      <w:r w:rsidR="00E06605">
        <w:t xml:space="preserve"> В</w:t>
      </w:r>
      <w:r>
        <w:t xml:space="preserve">торой опытный </w:t>
      </w:r>
      <w:proofErr w:type="spellStart"/>
      <w:r>
        <w:t>Ikarus</w:t>
      </w:r>
      <w:proofErr w:type="spellEnd"/>
      <w:r>
        <w:t xml:space="preserve"> 250, собранный в том же году, отправили на межведомственные испытания в СССР, которые проводились с января по август 1968 года. За это время тёмно-зелёный автобус с белой юбкой накрутил по СССР более 40 тыс. километров.</w:t>
      </w:r>
    </w:p>
    <w:p w:rsidR="00E06605" w:rsidRDefault="00E06605" w:rsidP="004E6CDD">
      <w:pPr>
        <w:pStyle w:val="el-text"/>
        <w:spacing w:before="0" w:beforeAutospacing="0" w:after="0" w:afterAutospacing="0"/>
      </w:pPr>
      <w:r>
        <w:t xml:space="preserve"> В отличие от опытных образцов серийные «Икарусы» немного изменились внешне: прямоугольные передние фары заменили на сдвоенные круглые, с боковых окон убрали центральные вертикальные перемычки, колёсные арки получили </w:t>
      </w:r>
      <w:proofErr w:type="gramStart"/>
      <w:r>
        <w:t>более плавные</w:t>
      </w:r>
      <w:proofErr w:type="gramEnd"/>
      <w:r>
        <w:t xml:space="preserve"> обводы и т. д.</w:t>
      </w:r>
    </w:p>
    <w:p w:rsidR="00FC6562" w:rsidRDefault="004E6CDD" w:rsidP="004E6CDD">
      <w:pPr>
        <w:pStyle w:val="a5"/>
        <w:spacing w:before="0" w:beforeAutospacing="0" w:after="0" w:afterAutospacing="0"/>
      </w:pPr>
      <w:r>
        <w:t xml:space="preserve"> </w:t>
      </w:r>
      <w:proofErr w:type="gramStart"/>
      <w:r w:rsidR="00E06605">
        <w:t xml:space="preserve">В Советский Союз ранние </w:t>
      </w:r>
      <w:proofErr w:type="spellStart"/>
      <w:r w:rsidR="00E06605">
        <w:t>Ikarus</w:t>
      </w:r>
      <w:proofErr w:type="spellEnd"/>
      <w:r w:rsidR="00E06605">
        <w:t xml:space="preserve"> 250 поступали в двух основных комплектациях: люксовый </w:t>
      </w:r>
      <w:proofErr w:type="spellStart"/>
      <w:r w:rsidR="00E06605" w:rsidRPr="00B71E05">
        <w:rPr>
          <w:b/>
        </w:rPr>
        <w:t>Ikarus</w:t>
      </w:r>
      <w:proofErr w:type="spellEnd"/>
      <w:r w:rsidR="00E06605" w:rsidRPr="00B71E05">
        <w:rPr>
          <w:b/>
        </w:rPr>
        <w:t xml:space="preserve"> 250.10</w:t>
      </w:r>
      <w:r w:rsidR="00E06605">
        <w:t xml:space="preserve"> имел в салоне 45 мест (включая место для экскурсовода), бар-буфет и гардероб для хранения верхней одежды пассажиров; бюджетный </w:t>
      </w:r>
      <w:proofErr w:type="spellStart"/>
      <w:r w:rsidR="00E06605" w:rsidRPr="00B71E05">
        <w:rPr>
          <w:b/>
        </w:rPr>
        <w:t>Ikarus</w:t>
      </w:r>
      <w:proofErr w:type="spellEnd"/>
      <w:r w:rsidR="00E06605" w:rsidRPr="00B71E05">
        <w:rPr>
          <w:b/>
        </w:rPr>
        <w:t xml:space="preserve"> 250.09</w:t>
      </w:r>
      <w:r w:rsidR="00E06605">
        <w:t xml:space="preserve"> был лишён дополнительного оборудования, но за счёт этого у него увеличилось количество мест для сидения – до 57.</w:t>
      </w:r>
      <w:proofErr w:type="gramEnd"/>
      <w:r w:rsidR="00B71E05">
        <w:t xml:space="preserve"> Автобусы комплектовали горизонтальным дизельным двигателем </w:t>
      </w:r>
      <w:proofErr w:type="spellStart"/>
      <w:r w:rsidR="00B71E05">
        <w:t>R</w:t>
      </w:r>
      <w:proofErr w:type="gramStart"/>
      <w:r w:rsidR="00B71E05">
        <w:t>а</w:t>
      </w:r>
      <w:proofErr w:type="gramEnd"/>
      <w:r w:rsidR="00B71E05">
        <w:t>ba</w:t>
      </w:r>
      <w:proofErr w:type="spellEnd"/>
      <w:r w:rsidR="00B71E05">
        <w:t xml:space="preserve">-MAN D2156HM6U мощностью 192 </w:t>
      </w:r>
      <w:proofErr w:type="spellStart"/>
      <w:r w:rsidR="00B71E05">
        <w:t>л.с</w:t>
      </w:r>
      <w:proofErr w:type="spellEnd"/>
      <w:r w:rsidR="00B71E05">
        <w:t xml:space="preserve">. и 5-ступенчатой коробкой передач ASH 75-7 J/60, пневматической подвеской всех колёс, гидроусилителем руля, приточной системой вентиляции салона через воздухозаборники на крыше. </w:t>
      </w:r>
      <w:r w:rsidR="00FC6562">
        <w:t>Кузов несущий, вагонной компоновки, сварен из труб квадратного сечения. Время показало, что ресурс кузова составляет около 30 лет, в то время как кузова первых модификаций автобуса за много лет использования выгибало дугой. На более свежих экземплярах встречается провисание заднего свеса. Всё это — результат отсутствия необходимого своевременного ремонта. Объём багажных отсеков Икаруса-250, разделённых на 2 части, 10,6 кубометра. Открыть их можно вручную или же кнопкой из салона. Площадь остекления достаточно высока</w:t>
      </w:r>
      <w:r w:rsidR="0031750F">
        <w:t xml:space="preserve"> - по 5 расширенных окон с 2-х сторон</w:t>
      </w:r>
      <w:r w:rsidR="00FC6562">
        <w:t xml:space="preserve">. На этот автобус устанавливались 34-57 парных кресел с высокой спинкой с расстоянием между креслами в 65 см. </w:t>
      </w:r>
      <w:r w:rsidR="008A59E0">
        <w:t xml:space="preserve">Сиденья жесткие и относительно не комфортные, относятся к междугородной категории с возможностью рычажного регулирования степени наклона до 100—110°. Каждая пара кресел оснащена индивидуальными вентиляционными соплами и компактными светильниками. </w:t>
      </w:r>
      <w:proofErr w:type="gramStart"/>
      <w:r w:rsidR="00FC6562">
        <w:t>В потолке установлены 3 люка, помогающие в циркуляции воздуха.</w:t>
      </w:r>
      <w:proofErr w:type="gramEnd"/>
      <w:r w:rsidR="00FC6562">
        <w:t xml:space="preserve"> Салон отапливался благодаря радиаторам, расположенным под </w:t>
      </w:r>
      <w:r w:rsidR="00FC6562">
        <w:lastRenderedPageBreak/>
        <w:t>сиденьями. Двери для водителя нет. Также нет перегородки водителя от салона. Рядом с водителем имеется запасное откидное место для второго водителя или экскурсовода, если автобус работает на туристическом маршруте.</w:t>
      </w:r>
    </w:p>
    <w:p w:rsidR="00B71E05" w:rsidRDefault="00FC6562" w:rsidP="004E6CDD">
      <w:pPr>
        <w:pStyle w:val="el-text"/>
        <w:spacing w:before="0" w:beforeAutospacing="0" w:after="0" w:afterAutospacing="0"/>
      </w:pPr>
      <w:r>
        <w:t xml:space="preserve"> </w:t>
      </w:r>
      <w:r w:rsidR="00B71E05">
        <w:t xml:space="preserve">Массовое производство </w:t>
      </w:r>
      <w:proofErr w:type="spellStart"/>
      <w:r w:rsidR="00B71E05">
        <w:t>Ikarus</w:t>
      </w:r>
      <w:proofErr w:type="spellEnd"/>
      <w:r w:rsidR="00B71E05">
        <w:t> 250 удалось наладить в 1971 году, и его поставки в Советский Союз стали постепенно увеличиваться. В 1971 году автобусы подверглись первым серьёзным доработкам. На ранних сериях задняя подвеска была несовершенной, в переднем мосту ломались шарнирные соединения – эти узлы были модернизированы. Но внешне серийные автобусы, окрашенные в основном в красный цвет, оставались практически неизменными.</w:t>
      </w:r>
    </w:p>
    <w:p w:rsidR="00B71E05" w:rsidRDefault="00B71E05" w:rsidP="004E6CDD">
      <w:pPr>
        <w:pStyle w:val="el-text"/>
        <w:spacing w:before="0" w:beforeAutospacing="0" w:after="0" w:afterAutospacing="0"/>
        <w:rPr>
          <w:b/>
        </w:rPr>
      </w:pPr>
      <w:r>
        <w:t xml:space="preserve"> С 1976 года в страну стали поставлять автобусы в новой комплектации – </w:t>
      </w:r>
      <w:proofErr w:type="spellStart"/>
      <w:r w:rsidRPr="00B71E05">
        <w:rPr>
          <w:b/>
        </w:rPr>
        <w:t>Ikarus</w:t>
      </w:r>
      <w:proofErr w:type="spellEnd"/>
      <w:r w:rsidRPr="00B71E05">
        <w:rPr>
          <w:b/>
        </w:rPr>
        <w:t xml:space="preserve"> 250.12</w:t>
      </w:r>
      <w:r>
        <w:t>. В отличие от предыдущих машин радиатор системы охлаждения двигателя у них был перенес</w:t>
      </w:r>
      <w:r w:rsidR="005975D7">
        <w:t xml:space="preserve">ён назад, в моторный отсек, </w:t>
      </w:r>
      <w:r>
        <w:t xml:space="preserve">ранее радиатор располагался под передним бампером. Двигатель на автобусе остался тем же, а вот 5-ступенчатую КП устанавливали </w:t>
      </w:r>
      <w:proofErr w:type="gramStart"/>
      <w:r>
        <w:t>новую</w:t>
      </w:r>
      <w:proofErr w:type="gramEnd"/>
      <w:r>
        <w:t> – ASH 75.1-A7.B1.C3.D2.E1.</w:t>
      </w:r>
      <w:r w:rsidR="005975D7">
        <w:t xml:space="preserve"> </w:t>
      </w:r>
      <w:r>
        <w:t xml:space="preserve">В следующем, 1977 году, флагманская машина подверглась небольшому </w:t>
      </w:r>
      <w:proofErr w:type="spellStart"/>
      <w:r>
        <w:t>рестайлингу</w:t>
      </w:r>
      <w:proofErr w:type="spellEnd"/>
      <w:r>
        <w:t xml:space="preserve"> – из заметных внешних признаков новый чёрный пластиковый бампер спереди. Индекс автобуса изменился на </w:t>
      </w:r>
      <w:proofErr w:type="spellStart"/>
      <w:r w:rsidRPr="005975D7">
        <w:rPr>
          <w:b/>
        </w:rPr>
        <w:t>Ikarus</w:t>
      </w:r>
      <w:proofErr w:type="spellEnd"/>
      <w:r w:rsidRPr="005975D7">
        <w:rPr>
          <w:b/>
        </w:rPr>
        <w:t> 250.22</w:t>
      </w:r>
      <w:r w:rsidR="005975D7">
        <w:rPr>
          <w:b/>
        </w:rPr>
        <w:t xml:space="preserve">. </w:t>
      </w:r>
    </w:p>
    <w:p w:rsidR="005975D7" w:rsidRDefault="005975D7" w:rsidP="004E6CDD">
      <w:pPr>
        <w:pStyle w:val="el-text"/>
        <w:spacing w:before="0" w:beforeAutospacing="0" w:after="0" w:afterAutospacing="0"/>
      </w:pPr>
      <w:r>
        <w:rPr>
          <w:b/>
        </w:rPr>
        <w:t xml:space="preserve"> </w:t>
      </w:r>
      <w:r>
        <w:t xml:space="preserve">С 1980 года в СССР начали приходить </w:t>
      </w:r>
      <w:proofErr w:type="spellStart"/>
      <w:r w:rsidRPr="005975D7">
        <w:rPr>
          <w:b/>
        </w:rPr>
        <w:t>Ikarus</w:t>
      </w:r>
      <w:proofErr w:type="spellEnd"/>
      <w:r w:rsidRPr="005975D7">
        <w:rPr>
          <w:b/>
        </w:rPr>
        <w:t xml:space="preserve"> 250.58</w:t>
      </w:r>
      <w:r w:rsidR="002F39F4">
        <w:rPr>
          <w:b/>
        </w:rPr>
        <w:t xml:space="preserve">, </w:t>
      </w:r>
      <w:r w:rsidR="002F39F4">
        <w:t>специально созданные для Советского Союза</w:t>
      </w:r>
      <w:r>
        <w:t>, которые даже внешне сильно отличались от тех автобусов, что были раньше. Новые машины получили переднюю две</w:t>
      </w:r>
      <w:r w:rsidR="001C60C7">
        <w:t xml:space="preserve">рь </w:t>
      </w:r>
      <w:proofErr w:type="spellStart"/>
      <w:r w:rsidR="001C60C7">
        <w:t>слайдерного</w:t>
      </w:r>
      <w:proofErr w:type="spellEnd"/>
      <w:r w:rsidR="001C60C7">
        <w:t xml:space="preserve"> (сдвижного) типа</w:t>
      </w:r>
      <w:r>
        <w:t xml:space="preserve">, открываемую теперь дистанционно с места водителя. </w:t>
      </w:r>
      <w:r w:rsidR="001C60C7">
        <w:t xml:space="preserve">На машинах поздних выпусков на этой двери снизу появился прозрачный застекленный люк. </w:t>
      </w:r>
      <w:r>
        <w:t>Сзади появилась дополнительная входная дверь</w:t>
      </w:r>
      <w:r w:rsidR="001C60C7">
        <w:t>, открываемая</w:t>
      </w:r>
      <w:r>
        <w:t xml:space="preserve"> вручную. В салоне за счёт появления дополнительной входной площадки сзади сократило</w:t>
      </w:r>
      <w:r w:rsidR="0040490C">
        <w:t xml:space="preserve">сь число посадочных мест до 43, </w:t>
      </w:r>
      <w:r>
        <w:t>включая экскурсовода, а сами автобусы вместо привычного красного цвета получили центральную полосу яркого алого цвета</w:t>
      </w:r>
      <w:proofErr w:type="gramStart"/>
      <w:r w:rsidR="00BE26F4">
        <w:t xml:space="preserve"> </w:t>
      </w:r>
      <w:r>
        <w:t>.</w:t>
      </w:r>
      <w:proofErr w:type="gramEnd"/>
      <w:r w:rsidR="001C60C7">
        <w:t xml:space="preserve"> </w:t>
      </w:r>
      <w:r>
        <w:t xml:space="preserve">Вновь изменилась и агрегатная часть. На </w:t>
      </w:r>
      <w:proofErr w:type="spellStart"/>
      <w:r>
        <w:t>Ikarus</w:t>
      </w:r>
      <w:proofErr w:type="spellEnd"/>
      <w:r>
        <w:t xml:space="preserve"> 250.58 стали устанавливать более мощный двигатель </w:t>
      </w:r>
      <w:proofErr w:type="spellStart"/>
      <w:r>
        <w:t>Raba</w:t>
      </w:r>
      <w:proofErr w:type="spellEnd"/>
      <w:r>
        <w:t xml:space="preserve">-MAN </w:t>
      </w:r>
      <w:r w:rsidR="004641D0">
        <w:t>D23</w:t>
      </w:r>
      <w:r>
        <w:t xml:space="preserve">56HM6U мощностью 220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 и 6-ступенчатую КП</w:t>
      </w:r>
      <w:r w:rsidR="004641D0">
        <w:t xml:space="preserve"> </w:t>
      </w:r>
      <w:proofErr w:type="spellStart"/>
      <w:r w:rsidR="004641D0" w:rsidRPr="004641D0">
        <w:t>Csepel</w:t>
      </w:r>
      <w:proofErr w:type="spellEnd"/>
      <w:r w:rsidR="004641D0" w:rsidRPr="004641D0">
        <w:t xml:space="preserve"> ZF S6-90U-708.1</w:t>
      </w:r>
      <w:r>
        <w:t>. Передний мост получил новый стабилизатор поперечной устойчивости. В таком виде флагманские автобусы поставлялись в нашу страну до 1983 года включительно.</w:t>
      </w:r>
    </w:p>
    <w:p w:rsidR="001C60C7" w:rsidRDefault="001C60C7" w:rsidP="004E6CDD">
      <w:pPr>
        <w:pStyle w:val="el-text"/>
        <w:spacing w:before="0" w:beforeAutospacing="0" w:after="0" w:afterAutospacing="0"/>
      </w:pPr>
      <w:r>
        <w:t xml:space="preserve">В это же время в СССР были поставлены автобусы-салоны </w:t>
      </w:r>
      <w:proofErr w:type="spellStart"/>
      <w:r w:rsidRPr="008A118B">
        <w:rPr>
          <w:b/>
        </w:rPr>
        <w:t>Ikarus</w:t>
      </w:r>
      <w:proofErr w:type="spellEnd"/>
      <w:r w:rsidRPr="008A118B">
        <w:rPr>
          <w:b/>
        </w:rPr>
        <w:t> 250.48</w:t>
      </w:r>
      <w:r>
        <w:t xml:space="preserve">, в основном для нужд Министерства обороны. </w:t>
      </w:r>
      <w:proofErr w:type="gramStart"/>
      <w:r>
        <w:t xml:space="preserve">Внешне они практически не отличались от массовых </w:t>
      </w:r>
      <w:proofErr w:type="spellStart"/>
      <w:r>
        <w:t>Ikarus</w:t>
      </w:r>
      <w:proofErr w:type="spellEnd"/>
      <w:r>
        <w:t xml:space="preserve"> 250.58, кроме установленного в задней части крыши большого блока кондиционеров, зато внутри они имели шикарный салон с индивидуальными вращающимися вокруг своей оси креслами и небольшую кают-компанию в кормовой части.</w:t>
      </w:r>
      <w:proofErr w:type="gramEnd"/>
    </w:p>
    <w:p w:rsidR="001C60C7" w:rsidRDefault="001C60C7" w:rsidP="004E6CDD">
      <w:pPr>
        <w:pStyle w:val="el-text"/>
        <w:spacing w:before="0" w:beforeAutospacing="0" w:after="0" w:afterAutospacing="0"/>
      </w:pPr>
      <w:r>
        <w:t xml:space="preserve">Пришедший на смену в 1984 году </w:t>
      </w:r>
      <w:proofErr w:type="spellStart"/>
      <w:r w:rsidRPr="008A118B">
        <w:rPr>
          <w:b/>
        </w:rPr>
        <w:t>Ikarus</w:t>
      </w:r>
      <w:proofErr w:type="spellEnd"/>
      <w:r w:rsidRPr="008A118B">
        <w:rPr>
          <w:b/>
        </w:rPr>
        <w:t xml:space="preserve"> 250.59</w:t>
      </w:r>
      <w:r>
        <w:t xml:space="preserve"> стал самым массовым представителем «Икарусов» «250-го» семейства в нашей стране. </w:t>
      </w:r>
      <w:r w:rsidR="00213B7E">
        <w:t>В этой модификации изменились размеры базы, размеры переднего и заднего свесов, изменилась габаритная длина (правда уменьшилась она всего на 10 мм), изменился уровень пола. Изменилось положение шкафа в салоне.</w:t>
      </w:r>
      <w:r w:rsidR="00213B7E">
        <w:br/>
        <w:t xml:space="preserve">По всей видимости, модернизация Икарус 250 была проведена с целью унификации с Икарус 256. Т.к. практически все размеры кроме базы, а соответственно и длинны, у 250.59 и 256 равны. </w:t>
      </w:r>
      <w:proofErr w:type="gramStart"/>
      <w:r>
        <w:t xml:space="preserve">От предыдущей модели </w:t>
      </w:r>
      <w:r w:rsidR="00213B7E">
        <w:t xml:space="preserve">его отличала не только окраска - </w:t>
      </w:r>
      <w:r>
        <w:t>в алый цвет теперь окрашивалась вся верхняя часть автобуса, но и наличие второй авт</w:t>
      </w:r>
      <w:r w:rsidR="008A118B">
        <w:t xml:space="preserve">оматически открывающейся двери, </w:t>
      </w:r>
      <w:r>
        <w:t xml:space="preserve">тоже </w:t>
      </w:r>
      <w:proofErr w:type="spellStart"/>
      <w:r>
        <w:t>слайдерного</w:t>
      </w:r>
      <w:proofErr w:type="spellEnd"/>
      <w:r>
        <w:t xml:space="preserve"> типа, в салоне </w:t>
      </w:r>
      <w:r w:rsidR="008A118B">
        <w:t xml:space="preserve">вместо обычных занавесок </w:t>
      </w:r>
      <w:r>
        <w:t>появились опу</w:t>
      </w:r>
      <w:r w:rsidR="008A118B">
        <w:t>скающиеся шторки с фиксаторами</w:t>
      </w:r>
      <w:r>
        <w:t>, а на крыше заметно изменилась форма воздухозаборников (4 попарных воздухозаборника на крыше вместо трёх).</w:t>
      </w:r>
      <w:proofErr w:type="gramEnd"/>
      <w:r>
        <w:t xml:space="preserve"> Двигатель у </w:t>
      </w:r>
      <w:proofErr w:type="spellStart"/>
      <w:r>
        <w:t>Ikarus</w:t>
      </w:r>
      <w:proofErr w:type="spellEnd"/>
      <w:r>
        <w:t xml:space="preserve"> 250.59 стал ещё мощнее – 250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</w:t>
      </w:r>
    </w:p>
    <w:p w:rsidR="001C60C7" w:rsidRDefault="00C5069D" w:rsidP="004E6CDD">
      <w:pPr>
        <w:pStyle w:val="el-text"/>
        <w:spacing w:before="0" w:beforeAutospacing="0" w:after="0" w:afterAutospacing="0"/>
      </w:pPr>
      <w:r>
        <w:t xml:space="preserve"> </w:t>
      </w:r>
      <w:r w:rsidR="001C60C7">
        <w:t xml:space="preserve">С 1989 года пришла очередность новых версий: </w:t>
      </w:r>
      <w:proofErr w:type="spellStart"/>
      <w:r w:rsidR="001C60C7" w:rsidRPr="008A118B">
        <w:rPr>
          <w:b/>
        </w:rPr>
        <w:t>Ikarus</w:t>
      </w:r>
      <w:proofErr w:type="spellEnd"/>
      <w:r w:rsidR="001C60C7" w:rsidRPr="008A118B">
        <w:rPr>
          <w:b/>
        </w:rPr>
        <w:t xml:space="preserve"> 250.93</w:t>
      </w:r>
      <w:r w:rsidR="00E266BB">
        <w:t xml:space="preserve"> </w:t>
      </w:r>
      <w:r w:rsidR="001C60C7">
        <w:t xml:space="preserve">с увеличенным до 51 места и без бытового блока в салоне и </w:t>
      </w:r>
      <w:proofErr w:type="spellStart"/>
      <w:r w:rsidR="001C60C7" w:rsidRPr="008A118B">
        <w:rPr>
          <w:b/>
        </w:rPr>
        <w:t>Ikarus</w:t>
      </w:r>
      <w:proofErr w:type="spellEnd"/>
      <w:r w:rsidR="001C60C7" w:rsidRPr="008A118B">
        <w:rPr>
          <w:b/>
        </w:rPr>
        <w:t xml:space="preserve"> 250.95</w:t>
      </w:r>
      <w:r w:rsidR="00E266BB">
        <w:t xml:space="preserve"> </w:t>
      </w:r>
      <w:r w:rsidR="001C60C7">
        <w:t xml:space="preserve">с сохранившейся планировкой салона для дальних междугородных маршрутов. </w:t>
      </w:r>
      <w:proofErr w:type="gramStart"/>
      <w:r w:rsidR="001C60C7">
        <w:t>Агрегаты остались прежними, а внешне автобусы новых комплектаций можно было отличить по уменьшенному в размерах боковому окну водительской кабины и изменённой схеме окраски: чаще всего теперь они были окрашены в цвет слоновой кости с красной «юбкой» и тремя продольными красными полосами вдоль бортов.</w:t>
      </w:r>
      <w:proofErr w:type="gramEnd"/>
    </w:p>
    <w:p w:rsidR="001C60C7" w:rsidRDefault="001C60C7" w:rsidP="004E6CDD">
      <w:pPr>
        <w:pStyle w:val="el-text"/>
        <w:spacing w:before="0" w:beforeAutospacing="0" w:after="0" w:afterAutospacing="0"/>
      </w:pPr>
      <w:r>
        <w:t xml:space="preserve">Советский Союз наряду с Восточной Германией были основными заказчиками </w:t>
      </w:r>
      <w:proofErr w:type="spellStart"/>
      <w:r>
        <w:t>Ikarus</w:t>
      </w:r>
      <w:proofErr w:type="spellEnd"/>
      <w:r>
        <w:t xml:space="preserve"> 250. Доля импорта </w:t>
      </w:r>
      <w:proofErr w:type="spellStart"/>
      <w:r>
        <w:t>Ikarus</w:t>
      </w:r>
      <w:proofErr w:type="spellEnd"/>
      <w:r>
        <w:t xml:space="preserve"> 250 </w:t>
      </w:r>
      <w:r w:rsidR="00710237">
        <w:t xml:space="preserve">для СССР </w:t>
      </w:r>
      <w:r>
        <w:t xml:space="preserve">за весь срок его производства составила около 90%, от общего количества выпущенных машин. </w:t>
      </w:r>
      <w:r w:rsidR="00E266BB">
        <w:t xml:space="preserve"> </w:t>
      </w:r>
    </w:p>
    <w:p w:rsidR="0034377D" w:rsidRPr="00041E56" w:rsidRDefault="00B414B4" w:rsidP="0034377D">
      <w:pPr>
        <w:pStyle w:val="el-text"/>
        <w:spacing w:before="0" w:beforeAutospacing="0" w:after="0" w:afterAutospacing="0"/>
        <w:rPr>
          <w:b/>
        </w:rPr>
      </w:pPr>
      <w:r>
        <w:rPr>
          <w:b/>
        </w:rPr>
        <w:t xml:space="preserve">Поставки в СССР </w:t>
      </w:r>
      <w:r w:rsidR="00041E56" w:rsidRPr="00041E56">
        <w:rPr>
          <w:b/>
        </w:rPr>
        <w:t>Ikarus-250.09, 250.10, 250.12</w:t>
      </w:r>
      <w:r w:rsidR="00D65DDB">
        <w:rPr>
          <w:b/>
        </w:rPr>
        <w:t>, всего 3168 экз.</w:t>
      </w:r>
    </w:p>
    <w:p w:rsidR="00041E56" w:rsidRPr="00041E56" w:rsidRDefault="00041E56" w:rsidP="0034377D">
      <w:pPr>
        <w:pStyle w:val="el-text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680"/>
        <w:gridCol w:w="326"/>
        <w:gridCol w:w="1080"/>
        <w:gridCol w:w="1034"/>
      </w:tblGrid>
      <w:tr w:rsidR="0034377D" w:rsidRPr="0034377D" w:rsidTr="0034377D">
        <w:tc>
          <w:tcPr>
            <w:tcW w:w="0" w:type="auto"/>
            <w:gridSpan w:val="5"/>
            <w:hideMark/>
          </w:tcPr>
          <w:p w:rsidR="0034377D" w:rsidRPr="0034377D" w:rsidRDefault="0034377D" w:rsidP="00343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автобусов </w:t>
            </w:r>
            <w:proofErr w:type="spellStart"/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в СССР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Merge w:val="restart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</w:t>
            </w:r>
          </w:p>
        </w:tc>
      </w:tr>
      <w:tr w:rsidR="0034377D" w:rsidRPr="0034377D" w:rsidTr="0034377D"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377D" w:rsidRPr="0034377D" w:rsidRDefault="0034377D" w:rsidP="00343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2CD2" w:rsidRDefault="00CC2CD2" w:rsidP="0034377D">
      <w:pPr>
        <w:pStyle w:val="el-text"/>
        <w:spacing w:before="0" w:beforeAutospacing="0" w:after="0" w:afterAutospacing="0"/>
      </w:pPr>
    </w:p>
    <w:p w:rsidR="0019623A" w:rsidRDefault="0019623A" w:rsidP="004E6CDD">
      <w:pPr>
        <w:pStyle w:val="el-text"/>
        <w:spacing w:before="0" w:beforeAutospacing="0" w:after="0" w:afterAutospacing="0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8"/>
        <w:gridCol w:w="813"/>
        <w:gridCol w:w="63"/>
        <w:gridCol w:w="876"/>
        <w:gridCol w:w="53"/>
        <w:gridCol w:w="823"/>
        <w:gridCol w:w="876"/>
        <w:gridCol w:w="876"/>
        <w:gridCol w:w="969"/>
        <w:gridCol w:w="81"/>
        <w:gridCol w:w="876"/>
      </w:tblGrid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   </w:t>
            </w: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19623A" w:rsidRPr="0019623A" w:rsidTr="00440AD7">
        <w:tc>
          <w:tcPr>
            <w:tcW w:w="3652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914" w:type="dxa"/>
            <w:gridSpan w:val="3"/>
            <w:hideMark/>
          </w:tcPr>
          <w:p w:rsidR="0019623A" w:rsidRPr="006131EE" w:rsidRDefault="0019623A" w:rsidP="004E6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250.09</w:t>
            </w:r>
          </w:p>
        </w:tc>
        <w:tc>
          <w:tcPr>
            <w:tcW w:w="876" w:type="dxa"/>
            <w:hideMark/>
          </w:tcPr>
          <w:p w:rsidR="0019623A" w:rsidRPr="006131EE" w:rsidRDefault="0019623A" w:rsidP="004E6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250.12</w:t>
            </w:r>
          </w:p>
        </w:tc>
        <w:tc>
          <w:tcPr>
            <w:tcW w:w="876" w:type="dxa"/>
            <w:gridSpan w:val="2"/>
            <w:hideMark/>
          </w:tcPr>
          <w:p w:rsidR="0019623A" w:rsidRPr="006131EE" w:rsidRDefault="0019623A" w:rsidP="004E6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250.58</w:t>
            </w:r>
          </w:p>
        </w:tc>
        <w:tc>
          <w:tcPr>
            <w:tcW w:w="876" w:type="dxa"/>
            <w:hideMark/>
          </w:tcPr>
          <w:p w:rsidR="0019623A" w:rsidRPr="006131EE" w:rsidRDefault="0019623A" w:rsidP="004E6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250.59</w:t>
            </w:r>
          </w:p>
        </w:tc>
        <w:tc>
          <w:tcPr>
            <w:tcW w:w="876" w:type="dxa"/>
            <w:hideMark/>
          </w:tcPr>
          <w:p w:rsidR="0019623A" w:rsidRPr="006131EE" w:rsidRDefault="0019623A" w:rsidP="004E6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250.93</w:t>
            </w:r>
          </w:p>
        </w:tc>
        <w:tc>
          <w:tcPr>
            <w:tcW w:w="969" w:type="dxa"/>
            <w:hideMark/>
          </w:tcPr>
          <w:p w:rsidR="0019623A" w:rsidRPr="006131EE" w:rsidRDefault="0019623A" w:rsidP="00A220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250.93</w:t>
            </w:r>
            <w:r w:rsidR="00A2203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57" w:type="dxa"/>
            <w:gridSpan w:val="2"/>
            <w:hideMark/>
          </w:tcPr>
          <w:p w:rsidR="0019623A" w:rsidRPr="006131EE" w:rsidRDefault="0019623A" w:rsidP="004E6C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250.95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 категория автобуса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автобуса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Туристический, Класс III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вагонной компоновки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/ ширина / высота,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11990 / 2500 / 3170~3200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осевая нагрузка, передняя ось / задняя ось,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/ 9800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67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/ 10000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/ 10400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5430" w:type="dxa"/>
            <w:gridSpan w:val="8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/ 10000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снаряжённая / полная, кг.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 / 14700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 / 15440~16000</w:t>
            </w:r>
          </w:p>
        </w:tc>
        <w:tc>
          <w:tcPr>
            <w:tcW w:w="3504" w:type="dxa"/>
            <w:gridSpan w:val="6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 / 15500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67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/ 15800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/ 16200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5430" w:type="dxa"/>
            <w:gridSpan w:val="8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 / 16000</w:t>
            </w:r>
          </w:p>
        </w:tc>
        <w:tc>
          <w:tcPr>
            <w:tcW w:w="4380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/ задних колёс,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/ 1835</w:t>
            </w:r>
          </w:p>
        </w:tc>
        <w:tc>
          <w:tcPr>
            <w:tcW w:w="5430" w:type="dxa"/>
            <w:gridSpan w:val="9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/ 1835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Свес передний / задний,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/ 3200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проходимости передний / задний, градус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 / 7,2°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Минимальный радиус разворота,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подъем, %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DD136D" w:rsidP="004E6CDD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пневматическая с приводом от тормозной камеры. Автоматическая система регулировки тормозов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с аккумуляцией силы пружины, действующий на задние колёса, регулируемого действия, с ручным приводом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пневматическая. Воздушная рессора с полой резиновой подушкой. Амортизаторы гидравлические, телескопические, двухстороннего действия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250.09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250.12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250.58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250.59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250.93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250.93A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250.95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 дверей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0 — 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0 — 1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сидения / стояния, ед.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42+1+1 / 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44+1+1 / 0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51+1+1 / 0</w:t>
            </w:r>
          </w:p>
        </w:tc>
        <w:tc>
          <w:tcPr>
            <w:tcW w:w="3504" w:type="dxa"/>
            <w:gridSpan w:val="6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bookmarkStart w:id="0" w:name="_GoBack"/>
            <w:bookmarkEnd w:id="0"/>
          </w:p>
        </w:tc>
        <w:tc>
          <w:tcPr>
            <w:tcW w:w="1926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04" w:type="dxa"/>
            <w:gridSpan w:val="6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агрегат</w:t>
            </w:r>
            <w:r w:rsidR="00440AD7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Дизельный двигатель</w:t>
            </w:r>
          </w:p>
        </w:tc>
      </w:tr>
      <w:tr w:rsidR="0019623A" w:rsidRPr="0019623A" w:rsidTr="00562796">
        <w:tc>
          <w:tcPr>
            <w:tcW w:w="9996" w:type="dxa"/>
            <w:gridSpan w:val="12"/>
            <w:tcBorders>
              <w:bottom w:val="nil"/>
            </w:tcBorders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2B3" w:rsidRPr="002162B3" w:rsidTr="00562796">
        <w:tc>
          <w:tcPr>
            <w:tcW w:w="3690" w:type="dxa"/>
            <w:gridSpan w:val="2"/>
            <w:tcBorders>
              <w:top w:val="nil"/>
            </w:tcBorders>
          </w:tcPr>
          <w:p w:rsidR="002162B3" w:rsidRDefault="002162B3" w:rsidP="00B414B4">
            <w:pPr>
              <w:ind w:hanging="8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1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RÁB</w:t>
            </w:r>
            <w:r w:rsidR="00B41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12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B414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RAB</w:t>
            </w:r>
            <w:r w:rsidRPr="0021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A-M.A.N. D2156HM6U </w:t>
            </w:r>
          </w:p>
        </w:tc>
        <w:tc>
          <w:tcPr>
            <w:tcW w:w="813" w:type="dxa"/>
            <w:tcBorders>
              <w:top w:val="nil"/>
            </w:tcBorders>
          </w:tcPr>
          <w:p w:rsidR="002162B3" w:rsidRPr="0019623A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•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2162B3" w:rsidRPr="0019623A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•</w:t>
            </w:r>
          </w:p>
        </w:tc>
        <w:tc>
          <w:tcPr>
            <w:tcW w:w="823" w:type="dxa"/>
            <w:tcBorders>
              <w:top w:val="nil"/>
            </w:tcBorders>
          </w:tcPr>
          <w:p w:rsidR="002162B3" w:rsidRPr="0019623A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2162B3" w:rsidRPr="002162B3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2162B3" w:rsidRPr="002162B3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</w:tcBorders>
          </w:tcPr>
          <w:p w:rsidR="002162B3" w:rsidRPr="002162B3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2162B3" w:rsidRPr="002162B3" w:rsidRDefault="002162B3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9F3498" w:rsidRDefault="009F3498" w:rsidP="004E6CDD">
            <w:pPr>
              <w:ind w:hanging="8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RÁBA</w:t>
            </w: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C12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RAB</w:t>
            </w:r>
            <w:r w:rsidR="00C127D7" w:rsidRPr="0021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A-</w:t>
            </w:r>
            <w:r w:rsidR="0019623A"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M.A.N.</w:t>
            </w:r>
            <w:r w:rsidR="0019623A" w:rsidRPr="009F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D2156HM6UT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9F3498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RÁBA-M.A.N.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D2156MT6U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9F3498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RÁBA-M.A.N.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D2356HM6U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9F3498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RÁBA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D10UTSLL190</w:t>
            </w:r>
          </w:p>
        </w:tc>
        <w:tc>
          <w:tcPr>
            <w:tcW w:w="4380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10344-10350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Крутящий момент, </w:t>
            </w: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(192) (при 2100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="004E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696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1300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4E6CDD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(220) 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2100 об/мин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820 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1600 об/мин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4E6CDD" w:rsidP="004E6CDD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(256) 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2200 об/мин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898 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1600 об/мин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628" w:type="dxa"/>
            <w:gridSpan w:val="5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4E6CDD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190 (258) 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1900 об/мин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1100 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1900 об/мин</w:t>
            </w:r>
            <w:r w:rsidR="0019623A"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380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км.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4380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DD136D"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Механическая</w:t>
            </w:r>
          </w:p>
        </w:tc>
      </w:tr>
      <w:tr w:rsidR="0019623A" w:rsidRPr="0019623A" w:rsidTr="00562796">
        <w:tc>
          <w:tcPr>
            <w:tcW w:w="9996" w:type="dxa"/>
            <w:gridSpan w:val="12"/>
            <w:tcBorders>
              <w:bottom w:val="nil"/>
            </w:tcBorders>
            <w:hideMark/>
          </w:tcPr>
          <w:p w:rsidR="0019623A" w:rsidRPr="0019623A" w:rsidRDefault="0019623A" w:rsidP="004E6CDD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562796">
        <w:tc>
          <w:tcPr>
            <w:tcW w:w="3690" w:type="dxa"/>
            <w:gridSpan w:val="2"/>
            <w:tcBorders>
              <w:top w:val="nil"/>
            </w:tcBorders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ASH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75.1-A7</w:t>
            </w:r>
          </w:p>
        </w:tc>
        <w:tc>
          <w:tcPr>
            <w:tcW w:w="876" w:type="dxa"/>
            <w:gridSpan w:val="2"/>
            <w:tcBorders>
              <w:top w:val="nil"/>
            </w:tcBorders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tcBorders>
              <w:top w:val="nil"/>
            </w:tcBorders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7"/>
            <w:tcBorders>
              <w:top w:val="nil"/>
            </w:tcBorders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S6-90U</w:t>
            </w:r>
          </w:p>
        </w:tc>
        <w:tc>
          <w:tcPr>
            <w:tcW w:w="4380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S6-90U-708.1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19623A" w:rsidRPr="0019623A" w:rsidTr="006131EE">
        <w:tc>
          <w:tcPr>
            <w:tcW w:w="9996" w:type="dxa"/>
            <w:gridSpan w:val="1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</w:t>
            </w: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7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23A" w:rsidRPr="0019623A" w:rsidTr="006131EE">
        <w:tc>
          <w:tcPr>
            <w:tcW w:w="369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</w:t>
            </w:r>
          </w:p>
        </w:tc>
        <w:tc>
          <w:tcPr>
            <w:tcW w:w="1752" w:type="dxa"/>
            <w:gridSpan w:val="3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19623A" w:rsidRPr="0019623A" w:rsidRDefault="0019623A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</w:tbl>
    <w:p w:rsidR="0019623A" w:rsidRDefault="0019623A" w:rsidP="004E6CDD">
      <w:pPr>
        <w:pStyle w:val="el-text"/>
        <w:spacing w:before="0" w:beforeAutospacing="0" w:after="0" w:afterAutospacing="0"/>
      </w:pPr>
    </w:p>
    <w:p w:rsidR="00FC6562" w:rsidRDefault="00FC6562" w:rsidP="004E6CDD">
      <w:pPr>
        <w:pStyle w:val="el-text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9"/>
        <w:gridCol w:w="4737"/>
      </w:tblGrid>
      <w:tr w:rsidR="000C7075" w:rsidRPr="000C7075" w:rsidTr="0084211A">
        <w:tc>
          <w:tcPr>
            <w:tcW w:w="0" w:type="auto"/>
            <w:gridSpan w:val="2"/>
            <w:hideMark/>
          </w:tcPr>
          <w:p w:rsidR="000C7075" w:rsidRPr="000C7075" w:rsidRDefault="000C7075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технические характеристики модели Ikarus-250</w:t>
            </w:r>
          </w:p>
        </w:tc>
      </w:tr>
      <w:tr w:rsidR="000C7075" w:rsidRPr="000C7075" w:rsidTr="0084211A">
        <w:tc>
          <w:tcPr>
            <w:tcW w:w="0" w:type="auto"/>
            <w:gridSpan w:val="2"/>
            <w:hideMark/>
          </w:tcPr>
          <w:p w:rsidR="000C7075" w:rsidRPr="000C7075" w:rsidRDefault="000C7075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данные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междугородской</w:t>
            </w:r>
            <w:proofErr w:type="spell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экскурсионный, туристический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1971—1999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первая модель, год выпуска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</w:tr>
      <w:tr w:rsidR="000C7075" w:rsidRPr="000C7075" w:rsidTr="0084211A">
        <w:tc>
          <w:tcPr>
            <w:tcW w:w="0" w:type="auto"/>
            <w:gridSpan w:val="2"/>
            <w:hideMark/>
          </w:tcPr>
          <w:p w:rsidR="000C7075" w:rsidRPr="000C7075" w:rsidRDefault="000C7075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переднюю ось,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заднюю ось,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дверей, шт.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угол подъема при полной загрузке, %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C7075" w:rsidRPr="000C7075" w:rsidTr="0084211A">
        <w:tc>
          <w:tcPr>
            <w:tcW w:w="0" w:type="auto"/>
            <w:gridSpan w:val="2"/>
            <w:hideMark/>
          </w:tcPr>
          <w:p w:rsidR="000C7075" w:rsidRPr="000C7075" w:rsidRDefault="000C7075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пасажировместительность</w:t>
            </w:r>
            <w:proofErr w:type="spell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44—57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багажных отсеков,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2×5,3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багажа,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0C7075" w:rsidRPr="000C7075" w:rsidTr="0084211A">
        <w:tc>
          <w:tcPr>
            <w:tcW w:w="0" w:type="auto"/>
            <w:gridSpan w:val="2"/>
            <w:hideMark/>
          </w:tcPr>
          <w:p w:rsidR="000C7075" w:rsidRPr="000C7075" w:rsidRDefault="000C7075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Raba-D2156HM6U (Т)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696—883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Шум на скорости 0—20 км/ч,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100—120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на скорости 20—40 км/ч,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на скорости 40—60 км/ч,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на скорости 60—80 км/ч,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 на скорости 90—120 км/ч,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  <w:proofErr w:type="spellEnd"/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компесации</w:t>
            </w:r>
            <w:proofErr w:type="spell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топлива,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C7075" w:rsidRPr="000C7075" w:rsidTr="0084211A">
        <w:tc>
          <w:tcPr>
            <w:tcW w:w="0" w:type="auto"/>
            <w:gridSpan w:val="2"/>
            <w:hideMark/>
          </w:tcPr>
          <w:p w:rsidR="000C7075" w:rsidRPr="000C7075" w:rsidRDefault="000C7075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и движение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 передач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S6-90U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скоростей, шт.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(120)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 0—60 км/ч, сек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на 100 км при 60 км/ч, л.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26.5—40</w:t>
            </w:r>
          </w:p>
        </w:tc>
      </w:tr>
      <w:tr w:rsidR="000C7075" w:rsidRPr="000C7075" w:rsidTr="0084211A"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з 60 км/ч, м.</w:t>
            </w:r>
          </w:p>
        </w:tc>
        <w:tc>
          <w:tcPr>
            <w:tcW w:w="0" w:type="auto"/>
            <w:hideMark/>
          </w:tcPr>
          <w:p w:rsidR="000C7075" w:rsidRPr="000C7075" w:rsidRDefault="000C7075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</w:t>
            </w:r>
          </w:p>
        </w:tc>
      </w:tr>
    </w:tbl>
    <w:p w:rsidR="00710237" w:rsidRDefault="00710237" w:rsidP="004E6CDD">
      <w:pPr>
        <w:pStyle w:val="el-text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7"/>
        <w:gridCol w:w="733"/>
        <w:gridCol w:w="1177"/>
        <w:gridCol w:w="1114"/>
      </w:tblGrid>
      <w:tr w:rsidR="00710237" w:rsidRPr="00C24C52" w:rsidTr="0019623A">
        <w:tc>
          <w:tcPr>
            <w:tcW w:w="0" w:type="auto"/>
            <w:gridSpan w:val="4"/>
            <w:hideMark/>
          </w:tcPr>
          <w:p w:rsidR="00710237" w:rsidRPr="00C24C52" w:rsidRDefault="00710237" w:rsidP="004E6C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автобусов </w:t>
            </w:r>
            <w:proofErr w:type="spellStart"/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в СССР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9F3498" w:rsidRPr="00C24C52" w:rsidTr="009F3498"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0" w:type="auto"/>
            <w:hideMark/>
          </w:tcPr>
          <w:p w:rsidR="009F3498" w:rsidRPr="00C24C52" w:rsidRDefault="009F349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22038" w:rsidRPr="00C24C52" w:rsidTr="002162B3"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22038" w:rsidRPr="00C24C52" w:rsidTr="002162B3"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A22038" w:rsidRPr="00C24C52" w:rsidTr="002162B3"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22038" w:rsidRPr="00C24C52" w:rsidTr="002162B3"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2038" w:rsidRPr="00C24C52" w:rsidTr="002162B3"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Merge w:val="restart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Merge w:val="restart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15 870</w:t>
            </w:r>
          </w:p>
        </w:tc>
      </w:tr>
      <w:tr w:rsidR="00A22038" w:rsidRPr="00C24C52" w:rsidTr="002162B3"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vMerge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22038" w:rsidRPr="00C24C52" w:rsidRDefault="00A22038" w:rsidP="004E6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605" w:rsidRDefault="00C24C52" w:rsidP="004E6CDD">
      <w:pPr>
        <w:pStyle w:val="el-text"/>
        <w:spacing w:before="0" w:beforeAutospacing="0" w:after="0" w:afterAutospacing="0"/>
      </w:pPr>
      <w:r>
        <w:t xml:space="preserve"> </w:t>
      </w:r>
    </w:p>
    <w:p w:rsidR="00E06605" w:rsidRDefault="00E06605" w:rsidP="004E6CDD">
      <w:pPr>
        <w:pStyle w:val="el-text"/>
        <w:spacing w:before="0" w:beforeAutospacing="0" w:after="0" w:afterAutospacing="0"/>
      </w:pPr>
    </w:p>
    <w:p w:rsidR="000E5ABB" w:rsidRDefault="000E5ABB" w:rsidP="004E6CDD"/>
    <w:sectPr w:rsidR="000E5ABB" w:rsidSect="008A118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95"/>
    <w:rsid w:val="00041E56"/>
    <w:rsid w:val="000C291D"/>
    <w:rsid w:val="000C7075"/>
    <w:rsid w:val="000E5ABB"/>
    <w:rsid w:val="0019623A"/>
    <w:rsid w:val="001C60C7"/>
    <w:rsid w:val="001E7BB0"/>
    <w:rsid w:val="00213B7E"/>
    <w:rsid w:val="002162B3"/>
    <w:rsid w:val="002F39F4"/>
    <w:rsid w:val="0031750F"/>
    <w:rsid w:val="0034377D"/>
    <w:rsid w:val="0040490C"/>
    <w:rsid w:val="004401A0"/>
    <w:rsid w:val="00440AD7"/>
    <w:rsid w:val="004641D0"/>
    <w:rsid w:val="004E6CDD"/>
    <w:rsid w:val="0052150E"/>
    <w:rsid w:val="005357DE"/>
    <w:rsid w:val="00562796"/>
    <w:rsid w:val="00581AD4"/>
    <w:rsid w:val="005975D7"/>
    <w:rsid w:val="00612695"/>
    <w:rsid w:val="006131EE"/>
    <w:rsid w:val="006722AF"/>
    <w:rsid w:val="006F743C"/>
    <w:rsid w:val="00710237"/>
    <w:rsid w:val="00743E1E"/>
    <w:rsid w:val="0084211A"/>
    <w:rsid w:val="008A118B"/>
    <w:rsid w:val="008A59E0"/>
    <w:rsid w:val="00914176"/>
    <w:rsid w:val="009F3498"/>
    <w:rsid w:val="00A22038"/>
    <w:rsid w:val="00B309B2"/>
    <w:rsid w:val="00B317B1"/>
    <w:rsid w:val="00B414B4"/>
    <w:rsid w:val="00B71E05"/>
    <w:rsid w:val="00BE26F4"/>
    <w:rsid w:val="00C127D7"/>
    <w:rsid w:val="00C24C52"/>
    <w:rsid w:val="00C5069D"/>
    <w:rsid w:val="00C702D1"/>
    <w:rsid w:val="00CC2CD2"/>
    <w:rsid w:val="00D65DDB"/>
    <w:rsid w:val="00DC7434"/>
    <w:rsid w:val="00DD136D"/>
    <w:rsid w:val="00E06605"/>
    <w:rsid w:val="00E26380"/>
    <w:rsid w:val="00E266BB"/>
    <w:rsid w:val="00F02D5A"/>
    <w:rsid w:val="00FB6A3E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F0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66BB"/>
    <w:rPr>
      <w:b/>
      <w:bCs/>
    </w:rPr>
  </w:style>
  <w:style w:type="table" w:styleId="a4">
    <w:name w:val="Table Grid"/>
    <w:basedOn w:val="a1"/>
    <w:uiPriority w:val="59"/>
    <w:rsid w:val="00E266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C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list">
    <w:name w:val="colorlist"/>
    <w:basedOn w:val="a0"/>
    <w:rsid w:val="0019623A"/>
  </w:style>
  <w:style w:type="character" w:customStyle="1" w:styleId="greylist">
    <w:name w:val="greylist"/>
    <w:basedOn w:val="a0"/>
    <w:rsid w:val="0019623A"/>
  </w:style>
  <w:style w:type="paragraph" w:styleId="a6">
    <w:name w:val="Balloon Text"/>
    <w:basedOn w:val="a"/>
    <w:link w:val="a7"/>
    <w:uiPriority w:val="99"/>
    <w:semiHidden/>
    <w:unhideWhenUsed/>
    <w:rsid w:val="009F3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F0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66BB"/>
    <w:rPr>
      <w:b/>
      <w:bCs/>
    </w:rPr>
  </w:style>
  <w:style w:type="table" w:styleId="a4">
    <w:name w:val="Table Grid"/>
    <w:basedOn w:val="a1"/>
    <w:uiPriority w:val="59"/>
    <w:rsid w:val="00E266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C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list">
    <w:name w:val="colorlist"/>
    <w:basedOn w:val="a0"/>
    <w:rsid w:val="0019623A"/>
  </w:style>
  <w:style w:type="character" w:customStyle="1" w:styleId="greylist">
    <w:name w:val="greylist"/>
    <w:basedOn w:val="a0"/>
    <w:rsid w:val="0019623A"/>
  </w:style>
  <w:style w:type="paragraph" w:styleId="a6">
    <w:name w:val="Balloon Text"/>
    <w:basedOn w:val="a"/>
    <w:link w:val="a7"/>
    <w:uiPriority w:val="99"/>
    <w:semiHidden/>
    <w:unhideWhenUsed/>
    <w:rsid w:val="009F3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3D8F-BC6A-4BCB-80DE-EBD4D16C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2019-05-01T09:46:00Z</dcterms:created>
  <dcterms:modified xsi:type="dcterms:W3CDTF">2019-08-10T07:20:00Z</dcterms:modified>
</cp:coreProperties>
</file>