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3F" w:rsidRPr="002D47BA" w:rsidRDefault="00EF23C5" w:rsidP="002D47B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F23C5">
        <w:rPr>
          <w:b/>
          <w:bCs/>
          <w:sz w:val="28"/>
          <w:szCs w:val="28"/>
        </w:rPr>
        <w:t>Трамвай ЛМ-57 №с6139 "Служебный" четырёхосный двухсторонний трамвайный мото</w:t>
      </w:r>
      <w:r w:rsidR="00E655CD">
        <w:rPr>
          <w:b/>
          <w:bCs/>
          <w:sz w:val="28"/>
          <w:szCs w:val="28"/>
        </w:rPr>
        <w:t>рный вагон, две кабины управлен</w:t>
      </w:r>
      <w:r w:rsidRPr="00EF23C5">
        <w:rPr>
          <w:b/>
          <w:bCs/>
          <w:sz w:val="28"/>
          <w:szCs w:val="28"/>
        </w:rPr>
        <w:t xml:space="preserve">ия, дверей 2+1, снаряжённый вес 18.5 </w:t>
      </w:r>
      <w:proofErr w:type="spellStart"/>
      <w:r w:rsidRPr="00EF23C5">
        <w:rPr>
          <w:b/>
          <w:bCs/>
          <w:sz w:val="28"/>
          <w:szCs w:val="28"/>
        </w:rPr>
        <w:t>тн</w:t>
      </w:r>
      <w:proofErr w:type="spellEnd"/>
      <w:r w:rsidRPr="00EF23C5">
        <w:rPr>
          <w:b/>
          <w:bCs/>
          <w:sz w:val="28"/>
          <w:szCs w:val="28"/>
        </w:rPr>
        <w:t>, ДК-255/257 4х45 кВт, 65 км/час, парковая окраска с 1985 г., г. Ленинград 1985 г.</w:t>
      </w:r>
    </w:p>
    <w:p w:rsidR="00433074" w:rsidRDefault="00EF23C5" w:rsidP="00F8475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69BD57" wp14:editId="13916AE1">
            <wp:simplePos x="0" y="0"/>
            <wp:positionH relativeFrom="margin">
              <wp:posOffset>219075</wp:posOffset>
            </wp:positionH>
            <wp:positionV relativeFrom="margin">
              <wp:posOffset>904875</wp:posOffset>
            </wp:positionV>
            <wp:extent cx="6152515" cy="307213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918" w:rsidRPr="00F84755" w:rsidRDefault="00E43918" w:rsidP="00F847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84755">
        <w:rPr>
          <w:rStyle w:val="a4"/>
          <w:color w:val="000000" w:themeColor="text1"/>
        </w:rPr>
        <w:t>Эксплуатировались в Ленинграде с 1958 по 1986 гг.</w:t>
      </w:r>
    </w:p>
    <w:p w:rsidR="00E43918" w:rsidRPr="00F84755" w:rsidRDefault="00E43918" w:rsidP="00EF23C5">
      <w:pPr>
        <w:pStyle w:val="a3"/>
        <w:spacing w:before="0" w:beforeAutospacing="0" w:after="0" w:afterAutospacing="0"/>
        <w:rPr>
          <w:color w:val="000000" w:themeColor="text1"/>
        </w:rPr>
      </w:pPr>
      <w:r w:rsidRPr="00F84755">
        <w:rPr>
          <w:color w:val="000000" w:themeColor="text1"/>
        </w:rPr>
        <w:t>С 1958 года на ули</w:t>
      </w:r>
      <w:r w:rsidR="00EF23C5">
        <w:rPr>
          <w:color w:val="000000" w:themeColor="text1"/>
        </w:rPr>
        <w:t xml:space="preserve">цах города появились трамвайные </w:t>
      </w:r>
      <w:r w:rsidRPr="00F84755">
        <w:rPr>
          <w:color w:val="000000" w:themeColor="text1"/>
        </w:rPr>
        <w:t>в</w:t>
      </w:r>
      <w:r w:rsidR="00433074">
        <w:rPr>
          <w:color w:val="000000" w:themeColor="text1"/>
        </w:rPr>
        <w:t>агоны нового поколения - ЛМ-57,</w:t>
      </w:r>
      <w:r w:rsidR="00433074" w:rsidRPr="00433074">
        <w:rPr>
          <w:color w:val="000000" w:themeColor="text1"/>
        </w:rPr>
        <w:t xml:space="preserve"> логическое развитие линии ЛМ-33, ЛМ-47 и ЛМ-49. </w:t>
      </w:r>
      <w:r w:rsidRPr="00F84755">
        <w:rPr>
          <w:color w:val="000000" w:themeColor="text1"/>
        </w:rPr>
        <w:t xml:space="preserve">От своих предшественников они отличались округлыми формами и повышенной комфортностью: в салоне и кабине появились отопление и штатные мягкие сиденья. Впервые в ЛМ-57 применили мостовые тележки нового типа, </w:t>
      </w:r>
      <w:proofErr w:type="spellStart"/>
      <w:r w:rsidRPr="00F84755">
        <w:rPr>
          <w:color w:val="000000" w:themeColor="text1"/>
        </w:rPr>
        <w:t>подрезиненные</w:t>
      </w:r>
      <w:proofErr w:type="spellEnd"/>
      <w:r w:rsidRPr="00F84755">
        <w:rPr>
          <w:color w:val="000000" w:themeColor="text1"/>
        </w:rPr>
        <w:t xml:space="preserve"> колеса, внедрили рельсовые тормоза, что позволило снизить уровень шума при движении вагона. Трамвай казался непривычно «элегантным», за что горожане пр</w:t>
      </w:r>
      <w:r w:rsidR="00EF23C5">
        <w:rPr>
          <w:color w:val="000000" w:themeColor="text1"/>
        </w:rPr>
        <w:t>озвали его ласково «Стилягой». </w:t>
      </w:r>
      <w:r w:rsidRPr="00F84755">
        <w:rPr>
          <w:color w:val="000000" w:themeColor="text1"/>
        </w:rPr>
        <w:t>Обогреваемый салон и бесшумный плавный ход «Стиляг» радовали пассажиров</w:t>
      </w:r>
      <w:r w:rsidR="00EF23C5">
        <w:rPr>
          <w:color w:val="000000" w:themeColor="text1"/>
        </w:rPr>
        <w:t>.</w:t>
      </w:r>
    </w:p>
    <w:p w:rsidR="00E43918" w:rsidRPr="00EF23C5" w:rsidRDefault="00E43918" w:rsidP="00F84755">
      <w:pPr>
        <w:spacing w:after="0" w:line="240" w:lineRule="auto"/>
        <w:outlineLvl w:val="1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23C5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</w:t>
      </w:r>
    </w:p>
    <w:p w:rsidR="00E43918" w:rsidRPr="00F84755" w:rsidRDefault="00F84755" w:rsidP="00F8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Ввиду технического отставания выпускаемых в середине 1950-х годов ленинградским заводом ВАРЗ № 1 четырёхосных цельнометаллических вагонов не только от мировых аналогов, но и от перспективных рижских, конструкторами завода в </w:t>
      </w:r>
      <w:hyperlink r:id="rId7" w:tooltip="1956 го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1956 году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предложен проект нового вагона для Ленинграда. Согласно проекту на вагоне предлагалось применить косвенную систему управления с возможностью работы по системе многих единиц, тележки мостового типа и отказаться от пневматического оборудования, возложив его функции на электрические устройства.</w:t>
      </w:r>
    </w:p>
    <w:p w:rsidR="00E43918" w:rsidRPr="00F84755" w:rsidRDefault="00F84755" w:rsidP="00F8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марте </w:t>
      </w:r>
      <w:hyperlink r:id="rId8" w:tooltip="1957 го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1957 года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сформулировано техническое задание на проектирование трамвайного вагона ЛМ-57, которое отличалось от первоначального проекта. Решено было отказаться от сложного косвенного управления в пользу модернизации непосредственного. Отказ от пневматического управления также посчитали </w:t>
      </w:r>
      <w:proofErr w:type="gramStart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преждевременным</w:t>
      </w:r>
      <w:proofErr w:type="gramEnd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этом ограничив область его применения и разделив на две магистрали: высокого и низкого давления.</w:t>
      </w:r>
    </w:p>
    <w:p w:rsidR="00E43918" w:rsidRPr="00F84755" w:rsidRDefault="00E43918" w:rsidP="00F8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вагон был построен к 7 ноября </w:t>
      </w:r>
      <w:hyperlink r:id="rId9" w:tooltip="1957 год" w:history="1">
        <w:r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1957 года</w:t>
        </w:r>
      </w:hyperlink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после обкатки был передан в Киев. </w:t>
      </w:r>
      <w:r w:rsid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Следующие пять опытных вагонов были изготовлены в </w:t>
      </w:r>
      <w:hyperlink r:id="rId10" w:tooltip="1958 год" w:history="1">
        <w:r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1958 году</w:t>
        </w:r>
      </w:hyperlink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сложившейся ленинградской традиции вагоны получили нечётные номера пятитысячной серии. В </w:t>
      </w:r>
      <w:hyperlink r:id="rId11" w:tooltip="1959" w:history="1">
        <w:r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1959</w:t>
        </w:r>
      </w:hyperlink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12" w:tooltip="1960" w:history="1">
        <w:r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1960</w:t>
        </w:r>
      </w:hyperlink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годах были выпущены ещё двадцать пять опытных вагонов.</w:t>
      </w:r>
    </w:p>
    <w:p w:rsidR="00E43918" w:rsidRPr="00F84755" w:rsidRDefault="00F84755" w:rsidP="00E65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hyperlink r:id="rId13" w:tooltip="1961 го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1961 года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вагоны ЛМ-57 начали выпускать серийно. Конструкция серийных вагонов претерпела заметные изменения в сравнении с опытной серией. В связи с широко развёрнутой кампанией по борьбе с архитектурными излишествами пришлось отказаться от хромированных элементов кузова. Фонарь маршрутного указателя спереди </w:t>
      </w:r>
      <w:proofErr w:type="gramStart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круглого стал квадратным. Поворотные вокруг центральной оси форточки заменили </w:t>
      </w:r>
      <w:proofErr w:type="gramStart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откидные. С этого же года вагоны пошли на экспорт. С </w:t>
      </w:r>
      <w:hyperlink r:id="rId14" w:tooltip="1962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1962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вместо наклонных задних стоек стали делать прямые, а с </w:t>
      </w:r>
      <w:hyperlink r:id="rId15" w:tooltip="1963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1963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вместо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тяжёлых форточек с деревянными рамами стали устанавливать форточки с алюминиевыми рамами, при этом объединив форточку с окном. Позднее такие форточки устанавливали на вагоны, проходившие капитальный ремонт. </w:t>
      </w:r>
      <w:r w:rsidR="00E65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683F" w:rsidRDefault="00F84755" w:rsidP="00AB28A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Производство ЛМ-57 было свёрнуто в </w:t>
      </w:r>
      <w:hyperlink r:id="rId16" w:tooltip="1969 го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1969 году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пользу ЛМ-68. Всего было произведено 1038 вагонов: семьсот одиннадцать поставлено в </w:t>
      </w:r>
      <w:hyperlink r:id="rId17" w:tooltip="Ленингра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Ленинград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семьдесят пять в </w:t>
      </w:r>
      <w:hyperlink r:id="rId18" w:tooltip="Горький (город)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Горький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9" w:tooltip="Ташкент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Ташкент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семьдесят в </w:t>
      </w:r>
      <w:hyperlink r:id="rId20" w:tooltip="Магнитогорск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Магнитогорск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пятьдесят пять в </w:t>
      </w:r>
      <w:hyperlink r:id="rId21" w:tooltip="Нижний Тагил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Нижний Тагил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тридцать в </w:t>
      </w:r>
      <w:hyperlink r:id="rId22" w:tooltip="Саратов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Саратов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тринадцать в </w:t>
      </w:r>
      <w:hyperlink r:id="rId23" w:tooltip="Архангельский трамвай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Архангельск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девять в </w:t>
      </w:r>
      <w:hyperlink r:id="rId24" w:tooltip="Казань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Казань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(позднее переданы в Магнитогорск). </w:t>
      </w:r>
      <w:r w:rsidR="00AB2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B28AE" w:rsidRDefault="00AB28AE" w:rsidP="00AB28AE">
      <w:pPr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  <w:r w:rsidRPr="00AB28A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ЛМ-57 использовались в качестве линейных до 1986 года, после чего большая часть оставшихся вагонов была порезана, а часть переделана в </w:t>
      </w:r>
      <w:r w:rsidRPr="00EF23C5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t>служебные</w:t>
      </w:r>
      <w:r w:rsidRPr="00AB28A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>.</w:t>
      </w:r>
    </w:p>
    <w:p w:rsidR="00AB28AE" w:rsidRDefault="00AB28AE" w:rsidP="00AB28AE">
      <w:pPr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</w:p>
    <w:tbl>
      <w:tblPr>
        <w:tblStyle w:val="a6"/>
        <w:tblW w:w="9356" w:type="dxa"/>
        <w:tblInd w:w="675" w:type="dxa"/>
        <w:tblLook w:val="04A0" w:firstRow="1" w:lastRow="0" w:firstColumn="1" w:lastColumn="0" w:noHBand="0" w:noVBand="1"/>
      </w:tblPr>
      <w:tblGrid>
        <w:gridCol w:w="2391"/>
        <w:gridCol w:w="548"/>
        <w:gridCol w:w="180"/>
        <w:gridCol w:w="6237"/>
      </w:tblGrid>
      <w:tr w:rsidR="00C5683F" w:rsidRPr="005A228E" w:rsidTr="00E655CD">
        <w:trPr>
          <w:trHeight w:val="241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E655CD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Ленинградский вагоноремонтный завод" w:history="1">
              <w:r w:rsidR="00C5683F" w:rsidRPr="005A22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Ленинградский вагоноремонтный завод</w:t>
              </w:r>
            </w:hyperlink>
          </w:p>
        </w:tc>
      </w:tr>
      <w:tr w:rsidR="00C5683F" w:rsidRPr="005A228E" w:rsidTr="00E655CD">
        <w:trPr>
          <w:trHeight w:val="241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 построено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1038</w:t>
            </w:r>
          </w:p>
        </w:tc>
      </w:tr>
      <w:tr w:rsidR="00C5683F" w:rsidRPr="005A228E" w:rsidTr="00E655CD">
        <w:trPr>
          <w:trHeight w:val="226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 проекта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E655CD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1957" w:history="1">
              <w:r w:rsidR="00C5683F" w:rsidRPr="005A22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1957</w:t>
              </w:r>
            </w:hyperlink>
          </w:p>
        </w:tc>
      </w:tr>
      <w:tr w:rsidR="00C5683F" w:rsidRPr="005A228E" w:rsidTr="00E655CD">
        <w:trPr>
          <w:trHeight w:val="241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E655CD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ooltip="1957" w:history="1">
              <w:r w:rsidR="00C5683F" w:rsidRPr="005A22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1957</w:t>
              </w:r>
            </w:hyperlink>
            <w:r w:rsidR="00C5683F"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hyperlink r:id="rId28" w:tooltip="1968" w:history="1">
              <w:r w:rsidR="00C5683F" w:rsidRPr="005A22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1968</w:t>
              </w:r>
            </w:hyperlink>
          </w:p>
        </w:tc>
      </w:tr>
      <w:tr w:rsidR="00C5683F" w:rsidRPr="005A228E" w:rsidTr="00E655CD">
        <w:trPr>
          <w:trHeight w:val="241"/>
        </w:trPr>
        <w:tc>
          <w:tcPr>
            <w:tcW w:w="9356" w:type="dxa"/>
            <w:gridSpan w:val="4"/>
            <w:hideMark/>
          </w:tcPr>
          <w:p w:rsidR="00C5683F" w:rsidRPr="005A228E" w:rsidRDefault="00C5683F" w:rsidP="004C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C5683F" w:rsidRPr="005A228E" w:rsidTr="00E655CD">
        <w:trPr>
          <w:trHeight w:val="241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 км/ч</w:t>
            </w:r>
          </w:p>
        </w:tc>
      </w:tr>
      <w:tr w:rsidR="00C5683F" w:rsidRPr="005A228E" w:rsidTr="00E655CD">
        <w:trPr>
          <w:trHeight w:val="241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 т</w:t>
            </w:r>
          </w:p>
        </w:tc>
      </w:tr>
      <w:tr w:rsidR="00C5683F" w:rsidRPr="005A228E" w:rsidTr="00E655CD">
        <w:trPr>
          <w:trHeight w:val="226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C5683F" w:rsidRPr="005A228E" w:rsidTr="00E655CD">
        <w:trPr>
          <w:trHeight w:val="240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Номинальная вместимость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 (5 чел/</w:t>
            </w:r>
            <w:proofErr w:type="gramStart"/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²)</w:t>
            </w:r>
          </w:p>
        </w:tc>
      </w:tr>
      <w:tr w:rsidR="00C5683F" w:rsidRPr="005A228E" w:rsidTr="00E655CD">
        <w:trPr>
          <w:trHeight w:val="319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Полная вместимость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 (8 чел/</w:t>
            </w:r>
            <w:proofErr w:type="gramStart"/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²)</w:t>
            </w:r>
          </w:p>
        </w:tc>
      </w:tr>
      <w:tr w:rsidR="00C5683F" w:rsidRPr="005A228E" w:rsidTr="00E655CD">
        <w:trPr>
          <w:trHeight w:val="241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Низкопольность</w:t>
            </w:r>
            <w:proofErr w:type="spellEnd"/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C5683F" w:rsidRPr="005A228E" w:rsidTr="00E655CD">
        <w:trPr>
          <w:trHeight w:val="241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контроллера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МТ-30А (1957—1961), МТ-30Д (1961—1969)</w:t>
            </w:r>
          </w:p>
        </w:tc>
      </w:tr>
      <w:tr w:rsidR="00C5683F" w:rsidRPr="005A228E" w:rsidTr="00E655CD">
        <w:trPr>
          <w:trHeight w:val="241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тормоза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электродинамический, пневматический колодочно-барабанный, магниторельсовый</w:t>
            </w:r>
          </w:p>
        </w:tc>
      </w:tr>
      <w:tr w:rsidR="00C5683F" w:rsidRPr="005A228E" w:rsidTr="00E655CD">
        <w:trPr>
          <w:trHeight w:val="226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Напряжение сети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  <w:proofErr w:type="gramStart"/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5683F" w:rsidRPr="005A228E" w:rsidTr="00E655CD">
        <w:trPr>
          <w:trHeight w:val="207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Напряжение бортовой сети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proofErr w:type="gramStart"/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5683F" w:rsidRPr="005A228E" w:rsidTr="00E655CD">
        <w:trPr>
          <w:trHeight w:val="239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тягового редуктора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двухступенчатый</w:t>
            </w:r>
          </w:p>
        </w:tc>
      </w:tr>
      <w:tr w:rsidR="00C5683F" w:rsidRPr="005A228E" w:rsidTr="00E655CD">
        <w:trPr>
          <w:trHeight w:val="460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Передаточное число тягового редуктора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7,17</w:t>
            </w:r>
          </w:p>
        </w:tc>
      </w:tr>
      <w:tr w:rsidR="00C5683F" w:rsidRPr="005A228E" w:rsidTr="00E655CD">
        <w:trPr>
          <w:trHeight w:val="301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(3+4+3)</w:t>
            </w:r>
          </w:p>
        </w:tc>
      </w:tr>
      <w:tr w:rsidR="00C5683F" w:rsidRPr="005A228E" w:rsidTr="00E655CD">
        <w:trPr>
          <w:trHeight w:val="237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Освещение салона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лампы накаливания</w:t>
            </w:r>
          </w:p>
        </w:tc>
      </w:tr>
      <w:tr w:rsidR="00C5683F" w:rsidRPr="005A228E" w:rsidTr="00E655CD">
        <w:trPr>
          <w:trHeight w:val="314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Отопление кабины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электрическая печь</w:t>
            </w:r>
          </w:p>
        </w:tc>
      </w:tr>
      <w:tr w:rsidR="00C5683F" w:rsidRPr="005A228E" w:rsidTr="00E655CD">
        <w:trPr>
          <w:trHeight w:val="226"/>
        </w:trPr>
        <w:tc>
          <w:tcPr>
            <w:tcW w:w="3119" w:type="dxa"/>
            <w:gridSpan w:val="3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6237" w:type="dxa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C5683F" w:rsidRPr="005A228E" w:rsidTr="00E655CD">
        <w:trPr>
          <w:trHeight w:val="241"/>
        </w:trPr>
        <w:tc>
          <w:tcPr>
            <w:tcW w:w="9356" w:type="dxa"/>
            <w:gridSpan w:val="4"/>
            <w:hideMark/>
          </w:tcPr>
          <w:p w:rsidR="00C5683F" w:rsidRPr="005A228E" w:rsidRDefault="00C5683F" w:rsidP="004C3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</w:t>
            </w:r>
          </w:p>
        </w:tc>
      </w:tr>
      <w:tr w:rsidR="00C5683F" w:rsidRPr="005A228E" w:rsidTr="00E655CD">
        <w:trPr>
          <w:trHeight w:val="241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1524 мм</w:t>
            </w:r>
          </w:p>
        </w:tc>
      </w:tr>
      <w:tr w:rsidR="00C5683F" w:rsidRPr="005A228E" w:rsidTr="00E655CD">
        <w:trPr>
          <w:trHeight w:val="241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15 000 мм</w:t>
            </w:r>
          </w:p>
        </w:tc>
      </w:tr>
      <w:tr w:rsidR="00C5683F" w:rsidRPr="005A228E" w:rsidTr="00E655CD">
        <w:trPr>
          <w:trHeight w:val="226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 мм</w:t>
            </w:r>
          </w:p>
        </w:tc>
      </w:tr>
      <w:tr w:rsidR="00C5683F" w:rsidRPr="005A228E" w:rsidTr="00E655CD">
        <w:trPr>
          <w:trHeight w:val="241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3080 мм</w:t>
            </w:r>
          </w:p>
        </w:tc>
      </w:tr>
      <w:tr w:rsidR="00C5683F" w:rsidRPr="005A228E" w:rsidTr="00E655CD">
        <w:trPr>
          <w:trHeight w:val="241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 мм</w:t>
            </w:r>
          </w:p>
        </w:tc>
      </w:tr>
      <w:tr w:rsidR="00C5683F" w:rsidRPr="005A228E" w:rsidTr="00E655CD">
        <w:trPr>
          <w:trHeight w:val="241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База тележки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1940 мм</w:t>
            </w:r>
          </w:p>
        </w:tc>
      </w:tr>
      <w:tr w:rsidR="00C5683F" w:rsidRPr="005A228E" w:rsidTr="00E655CD">
        <w:trPr>
          <w:trHeight w:val="226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Диаметр колёс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мм</w:t>
            </w:r>
          </w:p>
        </w:tc>
      </w:tr>
      <w:tr w:rsidR="00C5683F" w:rsidRPr="005A228E" w:rsidTr="00E655CD">
        <w:trPr>
          <w:trHeight w:val="241"/>
        </w:trPr>
        <w:tc>
          <w:tcPr>
            <w:tcW w:w="2391" w:type="dxa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Проём дверей</w:t>
            </w:r>
          </w:p>
        </w:tc>
        <w:tc>
          <w:tcPr>
            <w:tcW w:w="6965" w:type="dxa"/>
            <w:gridSpan w:val="3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1060 и 1500 мм</w:t>
            </w:r>
            <w:bookmarkStart w:id="0" w:name="_GoBack"/>
            <w:bookmarkEnd w:id="0"/>
          </w:p>
        </w:tc>
      </w:tr>
      <w:tr w:rsidR="00C5683F" w:rsidRPr="005A228E" w:rsidTr="00E655CD">
        <w:trPr>
          <w:trHeight w:val="241"/>
        </w:trPr>
        <w:tc>
          <w:tcPr>
            <w:tcW w:w="9356" w:type="dxa"/>
            <w:gridSpan w:val="4"/>
            <w:hideMark/>
          </w:tcPr>
          <w:p w:rsidR="00C5683F" w:rsidRPr="005A228E" w:rsidRDefault="00C5683F" w:rsidP="004C3D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Двигатели</w:t>
            </w:r>
          </w:p>
        </w:tc>
      </w:tr>
      <w:tr w:rsidR="00C5683F" w:rsidRPr="005A228E" w:rsidTr="00E655CD">
        <w:trPr>
          <w:trHeight w:val="241"/>
        </w:trPr>
        <w:tc>
          <w:tcPr>
            <w:tcW w:w="2939" w:type="dxa"/>
            <w:gridSpan w:val="2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6417" w:type="dxa"/>
            <w:gridSpan w:val="2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× ДК-255 или 4 × ДК-257</w:t>
            </w:r>
          </w:p>
        </w:tc>
      </w:tr>
      <w:tr w:rsidR="00C5683F" w:rsidRPr="005A228E" w:rsidTr="00E655CD">
        <w:trPr>
          <w:trHeight w:val="256"/>
        </w:trPr>
        <w:tc>
          <w:tcPr>
            <w:tcW w:w="2939" w:type="dxa"/>
            <w:gridSpan w:val="2"/>
            <w:hideMark/>
          </w:tcPr>
          <w:p w:rsidR="00C5683F" w:rsidRPr="005A228E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6417" w:type="dxa"/>
            <w:gridSpan w:val="2"/>
            <w:hideMark/>
          </w:tcPr>
          <w:p w:rsidR="00C5683F" w:rsidRPr="005A228E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× 45 кВт</w:t>
            </w:r>
          </w:p>
        </w:tc>
      </w:tr>
    </w:tbl>
    <w:p w:rsidR="000E5ABB" w:rsidRDefault="000E5ABB" w:rsidP="00F84755">
      <w:pPr>
        <w:spacing w:after="0" w:line="240" w:lineRule="auto"/>
        <w:rPr>
          <w:color w:val="000000" w:themeColor="text1"/>
        </w:rPr>
      </w:pPr>
    </w:p>
    <w:p w:rsidR="00AB28AE" w:rsidRPr="005A228E" w:rsidRDefault="00AB28AE" w:rsidP="005A228E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5A228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t>Санкт-Петербург, трамвайный вагон № 6139</w:t>
      </w:r>
    </w:p>
    <w:tbl>
      <w:tblPr>
        <w:tblStyle w:val="a6"/>
        <w:tblW w:w="9421" w:type="dxa"/>
        <w:tblInd w:w="675" w:type="dxa"/>
        <w:tblLook w:val="04A0" w:firstRow="1" w:lastRow="0" w:firstColumn="1" w:lastColumn="0" w:noHBand="0" w:noVBand="1"/>
      </w:tblPr>
      <w:tblGrid>
        <w:gridCol w:w="3576"/>
        <w:gridCol w:w="5845"/>
      </w:tblGrid>
      <w:tr w:rsidR="00AB28AE" w:rsidRPr="005A228E" w:rsidTr="00EF23C5">
        <w:trPr>
          <w:trHeight w:val="340"/>
        </w:trPr>
        <w:tc>
          <w:tcPr>
            <w:tcW w:w="3576" w:type="dxa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0" w:type="auto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Pr="005A22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Санкт-Петербург</w:t>
              </w:r>
            </w:hyperlink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4443348" wp14:editId="07702CF2">
                  <wp:extent cx="152400" cy="104775"/>
                  <wp:effectExtent l="0" t="0" r="0" b="9525"/>
                  <wp:docPr id="3" name="Рисунок 3" descr="http://transphoto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ansphoto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AB28AE" w:rsidRPr="005A228E" w:rsidTr="00EF23C5">
        <w:trPr>
          <w:trHeight w:val="321"/>
        </w:trPr>
        <w:tc>
          <w:tcPr>
            <w:tcW w:w="3576" w:type="dxa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Депо/Парк:</w:t>
            </w:r>
          </w:p>
        </w:tc>
        <w:tc>
          <w:tcPr>
            <w:tcW w:w="0" w:type="auto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Pr="005A22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Трамвайный парк № 6</w:t>
              </w:r>
            </w:hyperlink>
          </w:p>
        </w:tc>
      </w:tr>
      <w:tr w:rsidR="00AB28AE" w:rsidRPr="005A228E" w:rsidTr="00EF23C5">
        <w:trPr>
          <w:trHeight w:val="340"/>
        </w:trPr>
        <w:tc>
          <w:tcPr>
            <w:tcW w:w="3576" w:type="dxa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Pr="005A22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ЛМ-57</w:t>
              </w:r>
            </w:hyperlink>
          </w:p>
        </w:tc>
      </w:tr>
      <w:tr w:rsidR="00AB28AE" w:rsidRPr="005A228E" w:rsidTr="00EF23C5">
        <w:trPr>
          <w:trHeight w:val="321"/>
        </w:trPr>
        <w:tc>
          <w:tcPr>
            <w:tcW w:w="3576" w:type="dxa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Списан </w:t>
            </w:r>
          </w:p>
        </w:tc>
      </w:tr>
      <w:tr w:rsidR="00AB28AE" w:rsidRPr="005A228E" w:rsidTr="00EF23C5">
        <w:trPr>
          <w:trHeight w:val="340"/>
        </w:trPr>
        <w:tc>
          <w:tcPr>
            <w:tcW w:w="3576" w:type="dxa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AB28AE" w:rsidRPr="005A228E" w:rsidRDefault="00AB28AE" w:rsidP="005A22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Служебный</w:t>
            </w:r>
          </w:p>
        </w:tc>
      </w:tr>
    </w:tbl>
    <w:p w:rsidR="00EF23C5" w:rsidRPr="00F84755" w:rsidRDefault="00E655CD" w:rsidP="00E655CD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388EAA1" wp14:editId="569DE253">
            <wp:simplePos x="0" y="0"/>
            <wp:positionH relativeFrom="margin">
              <wp:posOffset>469265</wp:posOffset>
            </wp:positionH>
            <wp:positionV relativeFrom="margin">
              <wp:posOffset>387985</wp:posOffset>
            </wp:positionV>
            <wp:extent cx="5958205" cy="43053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5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05. Двусторонняя версия вагона ЛМ-57</w:t>
      </w:r>
    </w:p>
    <w:sectPr w:rsidR="00EF23C5" w:rsidRPr="00F84755" w:rsidSect="00E4391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F4"/>
    <w:rsid w:val="000E5ABB"/>
    <w:rsid w:val="00154733"/>
    <w:rsid w:val="002D47BA"/>
    <w:rsid w:val="00433074"/>
    <w:rsid w:val="0052150E"/>
    <w:rsid w:val="005A228E"/>
    <w:rsid w:val="00AB28AE"/>
    <w:rsid w:val="00B82CE9"/>
    <w:rsid w:val="00C20D87"/>
    <w:rsid w:val="00C5683F"/>
    <w:rsid w:val="00E43918"/>
    <w:rsid w:val="00E655CD"/>
    <w:rsid w:val="00EF23C5"/>
    <w:rsid w:val="00F473F4"/>
    <w:rsid w:val="00F84755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3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3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43918"/>
  </w:style>
  <w:style w:type="character" w:styleId="a5">
    <w:name w:val="Hyperlink"/>
    <w:basedOn w:val="a0"/>
    <w:uiPriority w:val="99"/>
    <w:semiHidden/>
    <w:unhideWhenUsed/>
    <w:rsid w:val="00E43918"/>
    <w:rPr>
      <w:color w:val="0000FF"/>
      <w:u w:val="single"/>
    </w:rPr>
  </w:style>
  <w:style w:type="table" w:styleId="a6">
    <w:name w:val="Table Grid"/>
    <w:basedOn w:val="a1"/>
    <w:uiPriority w:val="59"/>
    <w:rsid w:val="00C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C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4">
    <w:name w:val="s4"/>
    <w:basedOn w:val="a0"/>
    <w:rsid w:val="00AB2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3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3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43918"/>
  </w:style>
  <w:style w:type="character" w:styleId="a5">
    <w:name w:val="Hyperlink"/>
    <w:basedOn w:val="a0"/>
    <w:uiPriority w:val="99"/>
    <w:semiHidden/>
    <w:unhideWhenUsed/>
    <w:rsid w:val="00E43918"/>
    <w:rPr>
      <w:color w:val="0000FF"/>
      <w:u w:val="single"/>
    </w:rPr>
  </w:style>
  <w:style w:type="table" w:styleId="a6">
    <w:name w:val="Table Grid"/>
    <w:basedOn w:val="a1"/>
    <w:uiPriority w:val="59"/>
    <w:rsid w:val="00C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C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4">
    <w:name w:val="s4"/>
    <w:basedOn w:val="a0"/>
    <w:rsid w:val="00AB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61_%D0%B3%D0%BE%D0%B4" TargetMode="External"/><Relationship Id="rId18" Type="http://schemas.openxmlformats.org/officeDocument/2006/relationships/hyperlink" Target="https://ru.wikipedia.org/wiki/%D0%93%D0%BE%D1%80%D1%8C%D0%BA%D0%B8%D0%B9_(%D0%B3%D0%BE%D1%80%D0%BE%D0%B4)" TargetMode="External"/><Relationship Id="rId26" Type="http://schemas.openxmlformats.org/officeDocument/2006/relationships/hyperlink" Target="https://wiki2.org/ru/19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D%D0%B8%D0%B6%D0%BD%D0%B8%D0%B9_%D0%A2%D0%B0%D0%B3%D0%B8%D0%B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1956_%D0%B3%D0%BE%D0%B4" TargetMode="External"/><Relationship Id="rId12" Type="http://schemas.openxmlformats.org/officeDocument/2006/relationships/hyperlink" Target="https://ru.wikipedia.org/wiki/1960" TargetMode="External"/><Relationship Id="rId17" Type="http://schemas.openxmlformats.org/officeDocument/2006/relationships/hyperlink" Target="https://ru.wikipedia.org/wiki/%D0%9B%D0%B5%D0%BD%D0%B8%D0%BD%D0%B3%D1%80%D0%B0%D0%B4" TargetMode="External"/><Relationship Id="rId25" Type="http://schemas.openxmlformats.org/officeDocument/2006/relationships/hyperlink" Target="https://wiki2.org/ru/%D0%9B%D0%B5%D0%BD%D0%B8%D0%BD%D0%B3%D1%80%D0%B0%D0%B4%D1%81%D0%BA%D0%B8%D0%B9_%D0%B2%D0%B0%D0%B3%D0%BE%D0%BD%D0%BE%D1%80%D0%B5%D0%BC%D0%BE%D0%BD%D1%82%D0%BD%D1%8B%D0%B9_%D0%B7%D0%B0%D0%B2%D0%BE%D0%B4" TargetMode="External"/><Relationship Id="rId33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69_%D0%B3%D0%BE%D0%B4" TargetMode="External"/><Relationship Id="rId20" Type="http://schemas.openxmlformats.org/officeDocument/2006/relationships/hyperlink" Target="https://ru.wikipedia.org/wiki/%D0%9C%D0%B0%D0%B3%D0%BD%D0%B8%D1%82%D0%BE%D0%B3%D0%BE%D1%80%D1%81%D0%BA" TargetMode="External"/><Relationship Id="rId29" Type="http://schemas.openxmlformats.org/officeDocument/2006/relationships/hyperlink" Target="http://transphoto.ru/city/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1959" TargetMode="External"/><Relationship Id="rId24" Type="http://schemas.openxmlformats.org/officeDocument/2006/relationships/hyperlink" Target="https://ru.wikipedia.org/wiki/%D0%9A%D0%B0%D0%B7%D0%B0%D0%BD%D1%8C" TargetMode="External"/><Relationship Id="rId32" Type="http://schemas.openxmlformats.org/officeDocument/2006/relationships/hyperlink" Target="http://transphoto.ru/model/1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63" TargetMode="External"/><Relationship Id="rId23" Type="http://schemas.openxmlformats.org/officeDocument/2006/relationships/hyperlink" Target="https://ru.wikipedia.org/wiki/%D0%90%D1%80%D1%85%D0%B0%D0%BD%D0%B3%D0%B5%D0%BB%D1%8C%D1%81%D0%BA%D0%B8%D0%B9_%D1%82%D1%80%D0%B0%D0%BC%D0%B2%D0%B0%D0%B9" TargetMode="External"/><Relationship Id="rId28" Type="http://schemas.openxmlformats.org/officeDocument/2006/relationships/hyperlink" Target="https://wiki2.org/ru/1968" TargetMode="External"/><Relationship Id="rId10" Type="http://schemas.openxmlformats.org/officeDocument/2006/relationships/hyperlink" Target="https://ru.wikipedia.org/wiki/1958_%D0%B3%D0%BE%D0%B4" TargetMode="External"/><Relationship Id="rId19" Type="http://schemas.openxmlformats.org/officeDocument/2006/relationships/hyperlink" Target="https://ru.wikipedia.org/wiki/%D0%A2%D0%B0%D1%88%D0%BA%D0%B5%D0%BD%D1%82" TargetMode="External"/><Relationship Id="rId31" Type="http://schemas.openxmlformats.org/officeDocument/2006/relationships/hyperlink" Target="http://transphoto.ru/list.php?did=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57_%D0%B3%D0%BE%D0%B4" TargetMode="External"/><Relationship Id="rId14" Type="http://schemas.openxmlformats.org/officeDocument/2006/relationships/hyperlink" Target="https://ru.wikipedia.org/wiki/1962" TargetMode="External"/><Relationship Id="rId22" Type="http://schemas.openxmlformats.org/officeDocument/2006/relationships/hyperlink" Target="https://ru.wikipedia.org/wiki/%D0%A1%D0%B0%D1%80%D0%B0%D1%82%D0%BE%D0%B2" TargetMode="External"/><Relationship Id="rId27" Type="http://schemas.openxmlformats.org/officeDocument/2006/relationships/hyperlink" Target="https://wiki2.org/ru/1957" TargetMode="External"/><Relationship Id="rId30" Type="http://schemas.openxmlformats.org/officeDocument/2006/relationships/image" Target="media/image2.gif"/><Relationship Id="rId35" Type="http://schemas.openxmlformats.org/officeDocument/2006/relationships/theme" Target="theme/theme1.xml"/><Relationship Id="rId8" Type="http://schemas.openxmlformats.org/officeDocument/2006/relationships/hyperlink" Target="https://ru.wikipedia.org/wiki/195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1FDA-E8C4-4D27-9C4D-9F1089D0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2018-02-07T10:48:00Z</dcterms:created>
  <dcterms:modified xsi:type="dcterms:W3CDTF">2019-01-06T16:21:00Z</dcterms:modified>
</cp:coreProperties>
</file>